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63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                 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          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   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63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63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63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    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63"/>
        <w:jc w:val="both"/>
        <w:spacing w:before="0" w:after="0" w:line="17" w:lineRule="atLeast"/>
        <w:widowControl w:val="off"/>
        <w:rPr>
          <w:rFonts w:ascii="Tinos" w:hAnsi="Tinos" w:cs="Tinos"/>
          <w:b/>
          <w:bCs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                                  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    </w:t>
      </w:r>
      <w:r>
        <w:rPr>
          <w:rFonts w:ascii="Tinos" w:hAnsi="Tinos" w:eastAsia="Tinos" w:cs="Tinos"/>
          <w:b/>
          <w:bCs/>
          <w:sz w:val="22"/>
          <w:szCs w:val="22"/>
          <w:highlight w:val="white"/>
        </w:rPr>
        <w:t xml:space="preserve">ПРОЕКТ </w:t>
      </w:r>
      <w:r>
        <w:rPr>
          <w:rFonts w:ascii="Tinos" w:hAnsi="Tinos" w:eastAsia="Tinos" w:cs="Tinos"/>
          <w:b/>
          <w:bCs/>
          <w:sz w:val="22"/>
          <w:szCs w:val="22"/>
          <w:highlight w:val="white"/>
        </w:rPr>
        <w:t xml:space="preserve">ДОГОВОР</w:t>
      </w:r>
      <w:r>
        <w:rPr>
          <w:rFonts w:ascii="Tinos" w:hAnsi="Tinos" w:eastAsia="Tinos" w:cs="Tinos"/>
          <w:b/>
          <w:bCs/>
          <w:sz w:val="22"/>
          <w:szCs w:val="22"/>
          <w:highlight w:val="white"/>
        </w:rPr>
        <w:t xml:space="preserve">А </w:t>
      </w:r>
      <w:r>
        <w:rPr>
          <w:rFonts w:ascii="Tinos" w:hAnsi="Tinos" w:eastAsia="Tinos" w:cs="Tinos"/>
          <w:b/>
          <w:bCs/>
          <w:sz w:val="22"/>
          <w:szCs w:val="22"/>
          <w:highlight w:val="white"/>
        </w:rPr>
        <w:t xml:space="preserve">ПОСТАВКИ ПРОДУКЦИИ</w:t>
      </w:r>
      <w:r>
        <w:rPr>
          <w:rFonts w:ascii="Tinos" w:hAnsi="Tinos" w:eastAsia="Tinos" w:cs="Tinos"/>
          <w:b/>
          <w:bCs/>
          <w:sz w:val="22"/>
          <w:szCs w:val="22"/>
          <w:highlight w:val="white"/>
        </w:rPr>
        <w:t xml:space="preserve"> №______</w:t>
      </w:r>
      <w:r>
        <w:rPr>
          <w:rFonts w:ascii="Tinos" w:hAnsi="Tinos" w:cs="Tinos"/>
          <w:b/>
          <w:bCs/>
          <w:sz w:val="22"/>
          <w:szCs w:val="22"/>
          <w:highlight w:val="white"/>
        </w:rPr>
      </w:r>
      <w:r>
        <w:rPr>
          <w:rFonts w:ascii="Tinos" w:hAnsi="Tinos" w:cs="Tinos"/>
          <w:b/>
          <w:bCs/>
          <w:sz w:val="22"/>
          <w:szCs w:val="22"/>
          <w:highlight w:val="white"/>
        </w:rPr>
      </w:r>
    </w:p>
    <w:p>
      <w:pPr>
        <w:ind w:right="40"/>
        <w:jc w:val="both"/>
        <w:spacing w:after="0" w:line="17" w:lineRule="atLeast"/>
        <w:widowControl w:val="off"/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г.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Кызыл                      </w:t>
      </w:r>
      <w:r>
        <w:rPr>
          <w:rFonts w:ascii="Tinos" w:hAnsi="Tinos" w:eastAsia="Tinos" w:cs="Tinos"/>
          <w:sz w:val="22"/>
          <w:szCs w:val="22"/>
          <w:highlight w:val="white"/>
        </w:rPr>
        <w:tab/>
      </w:r>
      <w:r>
        <w:rPr>
          <w:rFonts w:ascii="Tinos" w:hAnsi="Tinos" w:eastAsia="Tinos" w:cs="Tinos"/>
          <w:sz w:val="22"/>
          <w:szCs w:val="22"/>
          <w:highlight w:val="white"/>
        </w:rPr>
        <w:tab/>
      </w:r>
      <w:r>
        <w:rPr>
          <w:rFonts w:ascii="Tinos" w:hAnsi="Tinos" w:eastAsia="Tinos" w:cs="Tinos"/>
          <w:sz w:val="22"/>
          <w:szCs w:val="22"/>
          <w:highlight w:val="white"/>
        </w:rPr>
        <w:tab/>
      </w:r>
      <w:r>
        <w:rPr>
          <w:rFonts w:ascii="Tinos" w:hAnsi="Tinos" w:eastAsia="Tinos" w:cs="Tinos"/>
          <w:sz w:val="22"/>
          <w:szCs w:val="22"/>
          <w:highlight w:val="white"/>
        </w:rPr>
        <w:tab/>
      </w:r>
      <w:r>
        <w:rPr>
          <w:rFonts w:ascii="Tinos" w:hAnsi="Tinos" w:eastAsia="Tinos" w:cs="Tinos"/>
          <w:sz w:val="22"/>
          <w:szCs w:val="22"/>
          <w:highlight w:val="white"/>
        </w:rPr>
        <w:tab/>
      </w:r>
      <w:r>
        <w:rPr>
          <w:rFonts w:ascii="Tinos" w:hAnsi="Tinos" w:eastAsia="Tinos" w:cs="Tinos"/>
          <w:sz w:val="22"/>
          <w:szCs w:val="22"/>
          <w:highlight w:val="white"/>
        </w:rPr>
        <w:tab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    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       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     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          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«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___»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__________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20__ г.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АО «Россети Сибирь Тываэнерго»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, именуемое в дальнейшем </w:t>
      </w:r>
      <w:r>
        <w:rPr>
          <w:rFonts w:ascii="Tinos" w:hAnsi="Tinos" w:eastAsia="Tinos" w:cs="Tinos"/>
          <w:b/>
          <w:bCs/>
          <w:sz w:val="22"/>
          <w:szCs w:val="22"/>
          <w:highlight w:val="white"/>
        </w:rPr>
        <w:t xml:space="preserve">«Покупатель»,</w:t>
      </w:r>
      <w:r>
        <w:rPr>
          <w:rFonts w:ascii="Tinos" w:hAnsi="Tinos" w:eastAsia="Tinos" w:cs="Tinos"/>
          <w:b/>
          <w:bCs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в лице и.о. управляющего директора – первого заместителя генерального директо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ра Таранкова Алексея Игоревича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, действующего на основании Доверенности </w:t>
      </w:r>
      <w:r>
        <w:rPr>
          <w:rFonts w:ascii="Tinos" w:hAnsi="Tinos" w:eastAsia="Tinos" w:cs="Tinos"/>
          <w:bCs/>
          <w:sz w:val="22"/>
          <w:szCs w:val="22"/>
          <w:highlight w:val="white"/>
        </w:rPr>
        <w:t xml:space="preserve">№ 00/152/101 от 07.10.2025</w:t>
      </w:r>
      <w:r>
        <w:rPr>
          <w:rFonts w:ascii="Tinos" w:hAnsi="Tinos" w:eastAsia="Tinos" w:cs="Tinos"/>
          <w:bCs/>
          <w:sz w:val="22"/>
          <w:szCs w:val="22"/>
          <w:highlight w:val="white"/>
        </w:rPr>
        <w:t xml:space="preserve"> г.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с одной стороны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;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и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,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_______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, именуемый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в дальнейшем </w:t>
      </w:r>
      <w:r>
        <w:rPr>
          <w:rFonts w:ascii="Tinos" w:hAnsi="Tinos" w:eastAsia="Tinos" w:cs="Tinos"/>
          <w:b/>
          <w:bCs/>
          <w:sz w:val="22"/>
          <w:szCs w:val="22"/>
          <w:highlight w:val="white"/>
        </w:rPr>
        <w:t xml:space="preserve">«Поставщик»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,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в лице_____________,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д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ействующего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на ос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новании ________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с другой стороны, а вместе именуемые Стороны,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на основании решения конкурсной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комиссии (Протокол №________ от «__»___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г.)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,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заключили настоящий Договор о нижеследующем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: 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numPr>
          <w:ilvl w:val="0"/>
          <w:numId w:val="3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420" w:leader="none"/>
          <w:tab w:val="left" w:pos="567" w:leader="none"/>
          <w:tab w:val="clear" w:pos="7023" w:leader="none"/>
        </w:tabs>
        <w:rPr>
          <w:rFonts w:ascii="Tinos" w:hAnsi="Tinos" w:cs="Tinos"/>
          <w:b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b/>
          <w:sz w:val="22"/>
          <w:szCs w:val="22"/>
          <w:highlight w:val="white"/>
        </w:rPr>
        <w:t xml:space="preserve">Предмет Д</w:t>
      </w:r>
      <w:r>
        <w:rPr>
          <w:rFonts w:ascii="Tinos" w:hAnsi="Tinos" w:eastAsia="Tinos" w:cs="Tinos"/>
          <w:b/>
          <w:sz w:val="22"/>
          <w:szCs w:val="22"/>
          <w:highlight w:val="white"/>
        </w:rPr>
        <w:t xml:space="preserve">оговора</w:t>
      </w:r>
      <w:r>
        <w:rPr>
          <w:rFonts w:ascii="Tinos" w:hAnsi="Tinos" w:cs="Tinos"/>
          <w:b/>
          <w:sz w:val="22"/>
          <w:szCs w:val="22"/>
          <w:highlight w:val="white"/>
        </w:rPr>
      </w:r>
      <w:r>
        <w:rPr>
          <w:rFonts w:ascii="Tinos" w:hAnsi="Tinos" w:cs="Tinos"/>
          <w:b/>
          <w:sz w:val="22"/>
          <w:szCs w:val="22"/>
          <w:highlight w:val="white"/>
        </w:rPr>
      </w:r>
    </w:p>
    <w:p>
      <w:pPr>
        <w:numPr>
          <w:ilvl w:val="1"/>
          <w:numId w:val="4"/>
        </w:numPr>
        <w:ind w:left="0" w:firstLine="0"/>
        <w:jc w:val="both"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  <w:b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соответствии с настоящим Договором Поставщик обязуется поставить Покупателю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:</w:t>
      </w:r>
      <w:r>
        <w:rPr>
          <w:rFonts w:ascii="Tinos" w:hAnsi="Tinos" w:eastAsia="Tinos" w:cs="Tinos"/>
          <w:bCs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bCs w:val="0"/>
          <w:i w:val="0"/>
          <w:sz w:val="22"/>
          <w:szCs w:val="22"/>
          <w:highlight w:val="white"/>
        </w:rPr>
        <w:t xml:space="preserve">информационные знаки для ПС и ВЛ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>
        <w:rPr>
          <w:rFonts w:ascii="Tinos" w:hAnsi="Tinos" w:cs="Tinos"/>
          <w:b/>
          <w:sz w:val="22"/>
          <w:szCs w:val="22"/>
          <w:highlight w:val="white"/>
        </w:rPr>
      </w:r>
      <w:r>
        <w:rPr>
          <w:rFonts w:ascii="Tinos" w:hAnsi="Tinos" w:cs="Tinos"/>
          <w:b/>
          <w:sz w:val="22"/>
          <w:szCs w:val="22"/>
          <w:highlight w:val="white"/>
        </w:rPr>
      </w:r>
    </w:p>
    <w:p>
      <w:pPr>
        <w:ind w:left="0" w:firstLine="0"/>
        <w:jc w:val="both"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  <w:b/>
          <w:bCs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b/>
          <w:sz w:val="22"/>
          <w:szCs w:val="22"/>
          <w:highlight w:val="white"/>
        </w:rPr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Характеристики и требования к поставляемой продукции представлены в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Приложении № 4 к настоящему Договору.</w:t>
      </w:r>
      <w:r>
        <w:rPr>
          <w:rFonts w:ascii="Tinos" w:hAnsi="Tinos" w:cs="Tinos"/>
          <w:b/>
          <w:bCs/>
          <w:sz w:val="22"/>
          <w:szCs w:val="22"/>
          <w:highlight w:val="white"/>
        </w:rPr>
      </w:r>
      <w:r>
        <w:rPr>
          <w:rFonts w:ascii="Tinos" w:hAnsi="Tinos" w:cs="Tinos"/>
          <w:b/>
          <w:bCs/>
          <w:sz w:val="22"/>
          <w:szCs w:val="22"/>
          <w:highlight w:val="white"/>
        </w:rPr>
      </w:r>
    </w:p>
    <w:p>
      <w:pPr>
        <w:pStyle w:val="1066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Покупатель обязуется принять и своевременно оплатить Продукцию в порядке, определенном настоящим Договором.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66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В процессе испол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нения Договора количество Продукции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может быть изменено по инициативе Покупателя в сторону увеличения (не более 10%), либо уменьшено в случае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сокращения потребности Покупателя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без применения штрафных санкций от общего количества, указанного в Приложе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нии №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1 к настоящему Д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оговору, в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связи с чем Поставщик обязуется подписать направленное в его адрес Покупателем дополните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льное соглашение к настоящему Договору.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numPr>
          <w:ilvl w:val="0"/>
          <w:numId w:val="3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420" w:leader="none"/>
          <w:tab w:val="left" w:pos="567" w:leader="none"/>
          <w:tab w:val="clear" w:pos="7023" w:leader="none"/>
        </w:tabs>
        <w:rPr>
          <w:rFonts w:ascii="Tinos" w:hAnsi="Tinos" w:cs="Tinos"/>
          <w:b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b/>
          <w:sz w:val="22"/>
          <w:szCs w:val="22"/>
          <w:highlight w:val="white"/>
        </w:rPr>
        <w:t xml:space="preserve">Цена и порядок расчётов</w:t>
      </w:r>
      <w:r>
        <w:rPr>
          <w:rFonts w:ascii="Tinos" w:hAnsi="Tinos" w:cs="Tinos"/>
          <w:b/>
          <w:sz w:val="22"/>
          <w:szCs w:val="22"/>
          <w:highlight w:val="white"/>
        </w:rPr>
      </w:r>
      <w:r>
        <w:rPr>
          <w:rFonts w:ascii="Tinos" w:hAnsi="Tinos" w:cs="Tinos"/>
          <w:b/>
          <w:sz w:val="22"/>
          <w:szCs w:val="22"/>
          <w:highlight w:val="white"/>
        </w:rPr>
      </w:r>
    </w:p>
    <w:p>
      <w:pPr>
        <w:pStyle w:val="1070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left" w:pos="142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Цена на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стоящего Договора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без НДС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составляет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: ______</w:t>
      </w:r>
      <w:r>
        <w:rPr>
          <w:rFonts w:ascii="Tinos" w:hAnsi="Tinos" w:eastAsia="Tinos" w:cs="Tinos"/>
          <w:bCs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(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)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рублей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,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_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копе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ек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 Кроме того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,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НДС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20%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составляет: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_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(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)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рублей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, _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копеек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Всего с НДС цена Договора составляет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: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bCs/>
          <w:sz w:val="22"/>
          <w:szCs w:val="22"/>
          <w:highlight w:val="white"/>
        </w:rPr>
        <w:t xml:space="preserve">_</w:t>
      </w:r>
      <w:r>
        <w:rPr>
          <w:rFonts w:ascii="Tinos" w:hAnsi="Tinos" w:eastAsia="Tinos" w:cs="Tinos"/>
          <w:bCs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(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)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рублей, _ копеек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0"/>
        <w:ind w:right="40" w:firstLine="0"/>
        <w:spacing w:before="0" w:after="0" w:line="17" w:lineRule="atLeast"/>
        <w:widowControl w:val="off"/>
        <w:tabs>
          <w:tab w:val="left" w:pos="142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0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оговора. Стоимость поставляемой Продукции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включает все затраты, связанные со стоимостью тары, упаковки и страховых взносов, погрузкой, доставкой,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заготовительско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-складскими услугами, на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логами, сборами, платежами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Российской Федерации порядком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, а также иные возможные затраты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0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Стоимость Продукции, согласованная сторонами в Спе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0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num" w:pos="0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(для СМП – в срок не более 7 (семи) рабочих дней)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со дня получения Покупателем Продукции в полном объеме, указанном в Спецификации (Приложении № 1) по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товарной накладной (товарно-транспортной накладной), либо универсальному передаточному документу (УПД)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0"/>
        <w:ind w:left="0" w:right="40" w:firstLine="0"/>
        <w:spacing w:before="0" w:after="0" w:line="17" w:lineRule="atLeast"/>
        <w:widowControl w:val="off"/>
        <w:tabs>
          <w:tab w:val="num" w:pos="0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0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платежном поручении Покупатель указывает дату и номер настоящего Договора. Датой оплаты является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день списания денежных средств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0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0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Для целей применения настоящего пункта Стороны признают, что понятие «выставил» означает изготовление и передачу Покупателю оригинала счета-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0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bCs/>
          <w:i/>
          <w:iCs/>
          <w:sz w:val="22"/>
          <w:szCs w:val="22"/>
          <w:highlight w:val="white"/>
        </w:rPr>
        <w:t xml:space="preserve">*</w:t>
      </w:r>
      <w:r>
        <w:rPr>
          <w:rFonts w:ascii="Tinos" w:hAnsi="Tinos" w:eastAsia="Tinos" w:cs="Tinos"/>
          <w:bCs/>
          <w:i/>
          <w:iCs/>
          <w:sz w:val="22"/>
          <w:szCs w:val="22"/>
          <w:highlight w:val="white"/>
        </w:rPr>
        <w:t xml:space="preserve">В</w:t>
      </w:r>
      <w:r>
        <w:rPr>
          <w:rFonts w:ascii="Tinos" w:hAnsi="Tinos" w:eastAsia="Tinos" w:cs="Tinos"/>
          <w:bCs/>
          <w:i/>
          <w:iCs/>
          <w:sz w:val="22"/>
          <w:szCs w:val="22"/>
          <w:highlight w:val="white"/>
        </w:rPr>
        <w:t xml:space="preserve"> случае перехода на электронный документооборот, пункт 2.6. излагается в следующей редакции: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0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0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Покупателя,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утверждены Поставщиком в соответствие с пунктом 4 статьи 9 Федерального закона от 06.12.2011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г.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№ 402-ФЗ «О бухгалтерском учете».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0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Поставщик обязан предоставить Покупателю, подписанный со своей стороны, акт сверки взаиморасчетов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,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не позднее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10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(десяти)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рабочих дней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после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выполнения обязательств Покупателя по оплате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4"/>
        <w:numPr>
          <w:ilvl w:val="1"/>
          <w:numId w:val="6"/>
        </w:numPr>
        <w:ind w:left="0" w:firstLine="0"/>
        <w:spacing w:before="0" w:after="0" w:line="17" w:lineRule="atLeast"/>
        <w:tabs>
          <w:tab w:val="num" w:pos="0" w:leader="none"/>
          <w:tab w:val="clear" w:pos="360" w:leader="none"/>
          <w:tab w:val="num" w:pos="426" w:leader="none"/>
        </w:tabs>
        <w:rPr>
          <w:rFonts w:ascii="Tinos" w:hAnsi="Tinos" w:cs="Tinos"/>
          <w:i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Стороны вправе истребовать друг у д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1079"/>
          <w:rFonts w:ascii="Tinos" w:hAnsi="Tinos" w:eastAsia="Tinos" w:cs="Tinos"/>
          <w:sz w:val="22"/>
          <w:szCs w:val="22"/>
          <w:highlight w:val="white"/>
        </w:rPr>
        <w:footnoteReference w:id="2"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 </w:t>
      </w:r>
      <w:r>
        <w:rPr>
          <w:rFonts w:ascii="Tinos" w:hAnsi="Tinos" w:cs="Tinos"/>
          <w:i/>
          <w:sz w:val="22"/>
          <w:szCs w:val="22"/>
          <w:highlight w:val="white"/>
        </w:rPr>
      </w:r>
      <w:r>
        <w:rPr>
          <w:rFonts w:ascii="Tinos" w:hAnsi="Tinos" w:cs="Tinos"/>
          <w:i/>
          <w:sz w:val="22"/>
          <w:szCs w:val="22"/>
          <w:highlight w:val="white"/>
        </w:rPr>
      </w:r>
    </w:p>
    <w:p>
      <w:pPr>
        <w:pStyle w:val="1070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567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numPr>
          <w:ilvl w:val="0"/>
          <w:numId w:val="6"/>
        </w:numPr>
        <w:ind w:right="40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b/>
          <w:sz w:val="22"/>
          <w:szCs w:val="22"/>
          <w:highlight w:val="white"/>
        </w:rPr>
        <w:t xml:space="preserve">3.</w:t>
      </w:r>
      <w:r>
        <w:rPr>
          <w:rFonts w:ascii="Tinos" w:hAnsi="Tinos" w:eastAsia="Tinos" w:cs="Tinos"/>
          <w:b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b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b/>
          <w:sz w:val="22"/>
          <w:szCs w:val="22"/>
          <w:highlight w:val="white"/>
        </w:rPr>
        <w:t xml:space="preserve">Сроки и порядок поставки</w:t>
      </w:r>
      <w:r>
        <w:rPr>
          <w:rFonts w:ascii="Tinos" w:hAnsi="Tinos" w:cs="Tinos"/>
          <w:b/>
          <w:sz w:val="22"/>
          <w:szCs w:val="22"/>
          <w:highlight w:val="white"/>
        </w:rPr>
      </w:r>
      <w:r>
        <w:rPr>
          <w:rFonts w:ascii="Tinos" w:hAnsi="Tinos" w:cs="Tinos"/>
          <w:b/>
          <w:sz w:val="22"/>
          <w:szCs w:val="22"/>
          <w:highlight w:val="white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clear" w:pos="360" w:leader="none"/>
          <w:tab w:val="left" w:pos="425" w:leader="none"/>
          <w:tab w:val="left" w:pos="709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Срок поставки: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в течение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30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(тридцати)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календарных дней с даты заключения настоящего Договора поставки.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bCs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bCs/>
          <w:sz w:val="22"/>
          <w:szCs w:val="22"/>
          <w:highlight w:val="white"/>
        </w:rPr>
        <w:t xml:space="preserve">Место (объект) поставки: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667004, Республика Тыва, г. Кызыл, ул. Колхозная 2Б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,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Центральный склад АО «Россети Сибирь Тываэнерго»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numPr>
          <w:ilvl w:val="1"/>
          <w:numId w:val="6"/>
        </w:numPr>
        <w:ind w:left="0" w:firstLine="0"/>
        <w:jc w:val="both"/>
        <w:spacing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Способ поставки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: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поставка осуществляет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ся транспортом за счет средств П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оставщика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66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i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электронной почты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i/>
          <w:sz w:val="22"/>
          <w:szCs w:val="22"/>
          <w:highlight w:val="white"/>
        </w:rPr>
      </w:r>
      <w:r>
        <w:rPr>
          <w:rFonts w:ascii="Tinos" w:hAnsi="Tinos" w:cs="Tinos"/>
          <w:i/>
          <w:sz w:val="22"/>
          <w:szCs w:val="22"/>
          <w:highlight w:val="white"/>
        </w:rPr>
      </w:r>
    </w:p>
    <w:p>
      <w:pPr>
        <w:pStyle w:val="1066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Право собстве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нности и риск случайной гибели П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родукции переходит от Поставщика к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Покупателю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в момент передачи продукции Покупателю (франко-склад Покупателя)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66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Датой поставки (отгрузки) П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66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Подтверждением факта приемки-передачи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(отгрузки) Продукции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является товарная накладная (товарно-транспортная накладная) или УПД.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66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привлечения Поставщиком грузоперевозчика, факт дос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тавки Продукции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66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При установлении несоответствия поступивших материалов ассортименту, количеству и ка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честву, указанным в документах П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оставщика, а также в случаях, когда качество материалов не соот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едъявления претензий и исков к П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оставщику и (или) транспортной организации.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numPr>
          <w:ilvl w:val="0"/>
          <w:numId w:val="6"/>
        </w:numPr>
        <w:ind w:right="40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b/>
          <w:sz w:val="22"/>
          <w:szCs w:val="22"/>
          <w:highlight w:val="white"/>
        </w:rPr>
        <w:t xml:space="preserve">4.</w:t>
      </w:r>
      <w:r>
        <w:rPr>
          <w:rFonts w:ascii="Tinos" w:hAnsi="Tinos" w:eastAsia="Tinos" w:cs="Tinos"/>
          <w:b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b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b/>
          <w:sz w:val="22"/>
          <w:szCs w:val="22"/>
          <w:highlight w:val="white"/>
        </w:rPr>
        <w:t xml:space="preserve">Качество и порядок приемки П</w:t>
      </w:r>
      <w:r>
        <w:rPr>
          <w:rFonts w:ascii="Tinos" w:hAnsi="Tinos" w:eastAsia="Tinos" w:cs="Tinos"/>
          <w:b/>
          <w:sz w:val="22"/>
          <w:szCs w:val="22"/>
          <w:highlight w:val="white"/>
        </w:rPr>
        <w:t xml:space="preserve">родукции</w:t>
      </w:r>
      <w:r>
        <w:rPr>
          <w:rFonts w:ascii="Tinos" w:hAnsi="Tinos" w:cs="Tinos"/>
          <w:b/>
          <w:sz w:val="22"/>
          <w:szCs w:val="22"/>
          <w:highlight w:val="white"/>
        </w:rPr>
      </w:r>
      <w:r>
        <w:rPr>
          <w:rFonts w:ascii="Tinos" w:hAnsi="Tinos" w:cs="Tinos"/>
          <w:b/>
          <w:sz w:val="22"/>
          <w:szCs w:val="22"/>
          <w:highlight w:val="white"/>
        </w:rPr>
      </w:r>
    </w:p>
    <w:p>
      <w:pPr>
        <w:pStyle w:val="1094"/>
        <w:numPr>
          <w:ilvl w:val="1"/>
          <w:numId w:val="28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Поставляемая Продукция должна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(Приложение № 1), Технических характеристиках (Приложение № 4) к Договору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,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изготовлена в год поставки или предшествующий ему,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ранее не использована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и не подверже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на ремонту или восстановлению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Продукция должна соответствовать требованиям: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numPr>
          <w:ilvl w:val="0"/>
          <w:numId w:val="39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Д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ействующих на территории Российской Федерации нормативно-технических документов;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numPr>
          <w:ilvl w:val="0"/>
          <w:numId w:val="39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Положения ПАО «Россети» о единой технической политике в электросетевом комплексе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Упаковка, маркировка, временная антикорроз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ионная защита, условия транспортирования, в том числе требования к выбору вида транспортного средства, условия и сроки хранения всех устройств, запасных частей, расходных материалов и документации должны соответствовать требованиям, указанным в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технических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условиях изготовителя изделия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и др. нормативно-технической документации.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ind w:firstLine="0"/>
        <w:jc w:val="both"/>
        <w:spacing w:after="0" w:line="17" w:lineRule="atLeast"/>
        <w:rPr>
          <w:rFonts w:ascii="Tinos" w:hAnsi="Tinos" w:cs="Tinos"/>
          <w:i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Продукция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,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внесенная в Единый перечень продукции, подлежащей обязательной сертификации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должна иметь сертификаты с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оответствия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ГОСТ Р.</w:t>
      </w:r>
      <w:r>
        <w:rPr>
          <w:rFonts w:ascii="Tinos" w:hAnsi="Tinos" w:cs="Tinos"/>
          <w:i/>
          <w:sz w:val="22"/>
          <w:szCs w:val="22"/>
          <w:highlight w:val="white"/>
        </w:rPr>
      </w:r>
      <w:r>
        <w:rPr>
          <w:rFonts w:ascii="Tinos" w:hAnsi="Tinos" w:cs="Tinos"/>
          <w:i/>
          <w:sz w:val="22"/>
          <w:szCs w:val="22"/>
          <w:highlight w:val="white"/>
        </w:rPr>
      </w:r>
    </w:p>
    <w:p>
      <w:pPr>
        <w:ind w:firstLine="0"/>
        <w:jc w:val="both"/>
        <w:spacing w:after="0" w:line="17" w:lineRule="atLeast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Продукция должна снабжаться идентифицирующей и информационной м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аркировк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ой, обеспечивающей потребителя полной информацией о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продукции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b w:val="0"/>
          <w:bCs w:val="0"/>
          <w:i w:val="0"/>
          <w:iCs w:val="0"/>
          <w:sz w:val="22"/>
          <w:szCs w:val="22"/>
          <w:highlight w:val="white"/>
        </w:rPr>
        <w:t xml:space="preserve">(наименование изготовителя, номер партии, дата изготовления, требования безопасности, срок годности, дата выпуска, состав и т.д.)</w:t>
      </w:r>
      <w:r>
        <w:rPr>
          <w:rFonts w:ascii="Tinos" w:hAnsi="Tinos" w:eastAsia="Tinos" w:cs="Tinos"/>
          <w:b w:val="0"/>
          <w:bCs w:val="0"/>
          <w:i w:val="0"/>
          <w:iCs w:val="0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Вся сопроводительная документация должна быть составлена на русском языке и передана Покупателю вместе с поставляемой Продукцией.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numPr>
          <w:ilvl w:val="1"/>
          <w:numId w:val="28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Срок гаран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тии на поставляемые материалы и оборудование должен быть не менее 5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(пяти)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лет. Время начала исчисления гарантийного срока –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с момента ввода  Продукции в эксплуатацию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Поставщик должен за свой счет и сроки, согласованные с Покупателем,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устранять любые дефекты в поставляемом оборудовании, материалах, выявленные в течение гарантийного срока.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numPr>
          <w:ilvl w:val="1"/>
          <w:numId w:val="28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Покупатель обяз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ан оперативно уведомить Поставщика в письменной форме обо всех претензиях, связанных с невыполн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ением требований п. 4.1. Договора. П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numPr>
          <w:ilvl w:val="1"/>
          <w:numId w:val="28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Если Поставщик, получив уведомление, не исправит дефект(ы) или не произведет замену некачественной Продукции в сроки, указанные в п. 4.3 настоящего До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numPr>
          <w:ilvl w:val="1"/>
          <w:numId w:val="28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  <w:tab w:val="left" w:pos="993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существенного нарушения требований к качеству Продукции (обнаружения не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numPr>
          <w:ilvl w:val="0"/>
          <w:numId w:val="40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отказаться от исполнения Договора и потребовать возврата уплаченной за Продукцию денежной суммы;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numPr>
          <w:ilvl w:val="0"/>
          <w:numId w:val="40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потребовать замены Продукции ненадлежащего качества Продукцией, соответствующей Договору.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numPr>
          <w:ilvl w:val="1"/>
          <w:numId w:val="28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55"/>
        <w:ind w:left="0" w:right="0" w:firstLine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Приемка продукции по качеству производится в соответствии с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законодательством Российской Федерации (ст. 513 ГК РФ)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и условиями настоящего Договора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ind w:left="0" w:right="0" w:firstLine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Приемка продукции по количеству производится в соответствии с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законодательством Российской Федерации (ст. 513 ГК РФ)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и условиями настоящего Договора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55"/>
        <w:ind w:left="0" w:right="0" w:firstLine="0"/>
        <w:jc w:val="both"/>
        <w:spacing w:after="0" w:line="17" w:lineRule="atLeast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При приемке Продукции осуществляется: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55"/>
        <w:numPr>
          <w:ilvl w:val="0"/>
          <w:numId w:val="41"/>
        </w:numPr>
        <w:ind w:left="0" w:righ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внешний осмотр тары и упаковки;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55"/>
        <w:numPr>
          <w:ilvl w:val="0"/>
          <w:numId w:val="41"/>
        </w:numPr>
        <w:ind w:left="0" w:righ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проверка соответствия количества отгруженных и поступивших поставочных мест;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55"/>
        <w:numPr>
          <w:ilvl w:val="0"/>
          <w:numId w:val="41"/>
        </w:numPr>
        <w:ind w:left="0" w:righ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проверка соответствия содержимого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упаковки предмету Договора, упаковочным листам и характеристикам, указанным в товаросопроводительной документации (общий обычный осмотр)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numPr>
          <w:ilvl w:val="1"/>
          <w:numId w:val="34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При поста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вке Продукции Поставщик должен передать Покупателю оригиналы следующих документов на русском языке: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numPr>
          <w:ilvl w:val="2"/>
          <w:numId w:val="34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Техническую 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документацию: п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аспорт изделия, инструкция по эксплуатации и т.д.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numPr>
          <w:ilvl w:val="2"/>
          <w:numId w:val="34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Гарантийные свидетельства.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numPr>
          <w:ilvl w:val="2"/>
          <w:numId w:val="34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numPr>
          <w:ilvl w:val="2"/>
          <w:numId w:val="34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Документ, подтверждающий стр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ану происхождения Продукции.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numPr>
          <w:ilvl w:val="1"/>
          <w:numId w:val="34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ind w:left="0" w:right="40"/>
        <w:jc w:val="both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b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b/>
          <w:sz w:val="22"/>
          <w:szCs w:val="22"/>
          <w:highlight w:val="white"/>
        </w:rPr>
        <w:t xml:space="preserve">                                                                </w:t>
      </w:r>
      <w:r>
        <w:rPr>
          <w:rFonts w:ascii="Tinos" w:hAnsi="Tinos" w:eastAsia="Tinos" w:cs="Tinos"/>
          <w:b/>
          <w:sz w:val="22"/>
          <w:szCs w:val="22"/>
          <w:highlight w:val="white"/>
        </w:rPr>
        <w:t xml:space="preserve">5.</w:t>
      </w:r>
      <w:r>
        <w:rPr>
          <w:rFonts w:ascii="Tinos" w:hAnsi="Tinos" w:eastAsia="Tinos" w:cs="Tinos"/>
          <w:b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b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b/>
          <w:sz w:val="22"/>
          <w:szCs w:val="22"/>
          <w:highlight w:val="white"/>
        </w:rPr>
        <w:t xml:space="preserve">Тара и упаковка</w:t>
      </w:r>
      <w:r>
        <w:rPr>
          <w:rFonts w:ascii="Tinos" w:hAnsi="Tinos" w:cs="Tinos"/>
          <w:b/>
          <w:sz w:val="22"/>
          <w:szCs w:val="22"/>
          <w:highlight w:val="white"/>
        </w:rPr>
      </w:r>
      <w:r>
        <w:rPr>
          <w:rFonts w:ascii="Tinos" w:hAnsi="Tinos" w:cs="Tinos"/>
          <w:b/>
          <w:sz w:val="22"/>
          <w:szCs w:val="22"/>
          <w:highlight w:val="white"/>
        </w:rPr>
      </w:r>
    </w:p>
    <w:p>
      <w:pPr>
        <w:pStyle w:val="1070"/>
        <w:numPr>
          <w:ilvl w:val="1"/>
          <w:numId w:val="16"/>
        </w:numPr>
        <w:ind w:left="0" w:right="40" w:firstLine="0"/>
        <w:spacing w:before="0" w:after="0" w:line="17" w:lineRule="atLeast"/>
        <w:widowControl w:val="off"/>
        <w:tabs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Продукция должна быть упакована Поставщиком таким образом, чтобы исключить ее порчу, повреждение и (или) уничтожение.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0"/>
        <w:numPr>
          <w:ilvl w:val="1"/>
          <w:numId w:val="16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b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  <w:r>
        <w:rPr>
          <w:rFonts w:ascii="Tinos" w:hAnsi="Tinos" w:cs="Tinos"/>
          <w:b/>
          <w:sz w:val="22"/>
          <w:szCs w:val="22"/>
          <w:highlight w:val="white"/>
        </w:rPr>
      </w:r>
      <w:r>
        <w:rPr>
          <w:rFonts w:ascii="Tinos" w:hAnsi="Tinos" w:cs="Tinos"/>
          <w:b/>
          <w:sz w:val="22"/>
          <w:szCs w:val="22"/>
          <w:highlight w:val="white"/>
        </w:rPr>
      </w:r>
    </w:p>
    <w:p>
      <w:pPr>
        <w:pStyle w:val="1070"/>
        <w:numPr>
          <w:ilvl w:val="1"/>
          <w:numId w:val="16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b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Стоимость тары и упаковки входит в стоимость Продукции, указанную в Спецификации (Приложение № 1).</w:t>
      </w:r>
      <w:r>
        <w:rPr>
          <w:rFonts w:ascii="Tinos" w:hAnsi="Tinos" w:cs="Tinos"/>
          <w:b/>
          <w:sz w:val="22"/>
          <w:szCs w:val="22"/>
          <w:highlight w:val="white"/>
        </w:rPr>
      </w:r>
      <w:r>
        <w:rPr>
          <w:rFonts w:ascii="Tinos" w:hAnsi="Tinos" w:cs="Tinos"/>
          <w:b/>
          <w:sz w:val="22"/>
          <w:szCs w:val="22"/>
          <w:highlight w:val="white"/>
        </w:rPr>
      </w:r>
    </w:p>
    <w:p>
      <w:pPr>
        <w:pStyle w:val="1070"/>
        <w:numPr>
          <w:ilvl w:val="1"/>
          <w:numId w:val="16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Многооборотная тара и упаковка, в которых поступила Продукция, подлежат возврату Поставщику не позднее 30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(тридцати)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календарных дней со дня полу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чения продукции Покупателем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numPr>
          <w:ilvl w:val="0"/>
          <w:numId w:val="17"/>
        </w:numPr>
        <w:ind w:left="0" w:right="40" w:firstLine="0"/>
        <w:jc w:val="center"/>
        <w:spacing w:after="0" w:line="17" w:lineRule="atLeast"/>
        <w:widowControl w:val="off"/>
        <w:tabs>
          <w:tab w:val="left" w:pos="0" w:leader="none"/>
          <w:tab w:val="left" w:pos="283" w:leader="none"/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b/>
          <w:sz w:val="22"/>
          <w:szCs w:val="22"/>
          <w:highlight w:val="white"/>
        </w:rPr>
        <w:t xml:space="preserve">Ответственность сторон и порядок разрешения споров</w:t>
      </w:r>
      <w:r>
        <w:rPr>
          <w:rFonts w:ascii="Tinos" w:hAnsi="Tinos" w:cs="Tinos"/>
          <w:b/>
          <w:sz w:val="22"/>
          <w:szCs w:val="22"/>
          <w:highlight w:val="white"/>
        </w:rPr>
      </w:r>
      <w:r>
        <w:rPr>
          <w:rFonts w:ascii="Tinos" w:hAnsi="Tinos" w:cs="Tinos"/>
          <w:b/>
          <w:sz w:val="22"/>
          <w:szCs w:val="22"/>
          <w:highlight w:val="white"/>
        </w:rPr>
      </w:r>
    </w:p>
    <w:p>
      <w:pPr>
        <w:pStyle w:val="107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Поставляемая по настоящему Договору Продукция должна быть свободной от любых прав третьих лиц.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ненадлежащего исполнения Поставщиком своих обязательств по настоящему Договору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,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Поставщик уплачивает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Покупателю неустойку в размере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0,15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% от суммы неисполненных обязательств за каждый день просрочки и возмещает Покупателю причиненные убытки.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4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bCs/>
          <w:sz w:val="22"/>
          <w:szCs w:val="22"/>
          <w:highlight w:val="white"/>
        </w:rPr>
        <w:t xml:space="preserve">За непредставление/нарушение сроков представления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до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к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ументов, предусмотренных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пп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 4.7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.1. – 4.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7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.3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Договора, Поставщик уплачивает неустойку в размере 0,2% от стоимости Товара за каждый день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просрочки выполнения Поставщиком своих обязательств до фактического исполнения данного обязательства.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4"/>
        <w:ind w:firstLine="0"/>
        <w:spacing w:before="0" w:after="0" w:line="17" w:lineRule="atLeast"/>
        <w:tabs>
          <w:tab w:val="num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10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% от цены настоящего Договора и возмещает Покупателю причиненные убытки.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неисполнения или ненадлежащего исполнения Покупателем своих обязательств по оплате Продукции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,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 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4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Начисление неустойки осуществляется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,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начиная с дня, следующего за последним днем установленного Договором срока исполнения Покупателем своих обязательств по оплате.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Всего неустойка должна соста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влять не более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10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% от суммы просроченного платежа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установления факта предоставления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Поставщиком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недействительной независимой гарантии,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Поставщик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уплачивает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Покупателю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штраф в размере двойной Ключевой ставки Центрального Банка Российской Федерации от цены Договора</w:t>
      </w:r>
      <w:r>
        <w:rPr>
          <w:rStyle w:val="1118"/>
          <w:rFonts w:ascii="Tinos" w:hAnsi="Tinos" w:eastAsia="Tinos" w:cs="Tinos"/>
          <w:sz w:val="22"/>
          <w:szCs w:val="22"/>
          <w:highlight w:val="white"/>
          <w:shd w:val="clear" w:color="auto" w:fill="ffffff"/>
        </w:rPr>
        <w:footnoteReference w:id="3"/>
      </w:r>
      <w:r>
        <w:rPr>
          <w:rFonts w:ascii="Tinos" w:hAnsi="Tinos" w:eastAsia="Tinos" w:cs="Tinos"/>
          <w:sz w:val="22"/>
          <w:szCs w:val="22"/>
          <w:highlight w:val="white"/>
          <w:lang w:val="ru-RU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льного соглашения о привлечении/замене субпоставщиков).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4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4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1079"/>
          <w:rFonts w:ascii="Tinos" w:hAnsi="Tinos" w:eastAsia="Tinos" w:cs="Tinos"/>
          <w:sz w:val="22"/>
          <w:szCs w:val="22"/>
          <w:highlight w:val="white"/>
        </w:rPr>
        <w:footnoteReference w:id="4"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Уплата пеней и штрафов производится в течение 20 (двадцати) рабочих дней со дня направления соответствующей претензии.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4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Все споры, разногласия, претензии и требования, возникающие из настоящего Д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АО «Россети Сибирь Тываэнерго»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в соответстви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4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4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Стороны договорились, что исполнительный лист получается по месту третейского судопроизводства.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4"/>
        <w:numPr>
          <w:ilvl w:val="0"/>
          <w:numId w:val="60"/>
        </w:numPr>
        <w:ind w:left="0" w:right="0" w:firstLine="0"/>
        <w:spacing w:before="0"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АО «Россети Сибирь Тываэнерго»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-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</w:t>
      </w:r>
      <w:hyperlink r:id="rId11" w:tooltip="mailto:tuvaenergo@tv.rosseti-sib.ru" w:history="1">
        <w:r>
          <w:rPr>
            <w:rStyle w:val="1083"/>
            <w:rFonts w:ascii="Tinos" w:hAnsi="Tinos" w:eastAsia="Tinos" w:cs="Tinos"/>
            <w:sz w:val="22"/>
            <w:szCs w:val="22"/>
          </w:rPr>
        </w:r>
        <w:r>
          <w:rPr>
            <w:rStyle w:val="1083"/>
            <w:rFonts w:ascii="Tinos" w:hAnsi="Tinos" w:eastAsia="Tinos" w:cs="Tinos"/>
            <w:color w:val="00488f"/>
            <w:sz w:val="22"/>
            <w:szCs w:val="22"/>
            <w:highlight w:val="white"/>
            <w:u w:val="none"/>
          </w:rPr>
          <w:t xml:space="preserve">info@tv.rosseti-sib.ru</w:t>
        </w:r>
        <w:r>
          <w:rPr>
            <w:rStyle w:val="1083"/>
            <w:rFonts w:ascii="Tinos" w:hAnsi="Tinos" w:eastAsia="Tinos" w:cs="Tinos"/>
            <w:sz w:val="22"/>
            <w:szCs w:val="22"/>
          </w:rPr>
        </w:r>
      </w:hyperlink>
      <w:r>
        <w:rPr>
          <w:rFonts w:ascii="Tinos" w:hAnsi="Tinos" w:eastAsia="Tinos" w:cs="Tinos"/>
          <w:sz w:val="22"/>
          <w:szCs w:val="22"/>
          <w:highlight w:val="white"/>
        </w:rPr>
        <w:t xml:space="preserve">;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4"/>
        <w:numPr>
          <w:ilvl w:val="0"/>
          <w:numId w:val="60"/>
        </w:numPr>
        <w:ind w:left="0" w:right="0" w:firstLine="0"/>
        <w:spacing w:before="0"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i/>
          <w:sz w:val="22"/>
          <w:szCs w:val="22"/>
          <w:highlight w:val="white"/>
        </w:rPr>
      </w:pPr>
      <w:r>
        <w:rPr>
          <w:rFonts w:ascii="Tinos" w:hAnsi="Tinos" w:eastAsia="Tinos" w:cs="Tinos"/>
          <w:i/>
          <w:sz w:val="22"/>
          <w:szCs w:val="22"/>
          <w:highlight w:val="white"/>
        </w:rPr>
        <w:t xml:space="preserve">(наименование Стороны): (адрес электронной почты).</w:t>
      </w:r>
      <w:r>
        <w:rPr>
          <w:rFonts w:ascii="Tinos" w:hAnsi="Tinos" w:cs="Tinos"/>
          <w:i/>
          <w:sz w:val="22"/>
          <w:szCs w:val="22"/>
          <w:highlight w:val="white"/>
        </w:rPr>
      </w:r>
      <w:r>
        <w:rPr>
          <w:rFonts w:ascii="Tinos" w:hAnsi="Tinos" w:cs="Tinos"/>
          <w:i/>
          <w:sz w:val="22"/>
          <w:szCs w:val="22"/>
          <w:highlight w:val="white"/>
        </w:rPr>
      </w:r>
    </w:p>
    <w:p>
      <w:pPr>
        <w:pStyle w:val="107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щественным требованиям Покупателя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может быть передан на разрешение суда по истечении 15 (пятнадцати) календарных дней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с момента направления Покупателем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претензии (требования) Поставщику.</w:t>
      </w:r>
      <w:r>
        <w:rPr>
          <w:rFonts w:ascii="Tinos" w:hAnsi="Tinos" w:eastAsia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Поставщик несет ответственность за налоговые риски, которые могут возникнуть у Покупателя при нарушении Поставщиком условий ст.54.1 НК РФ, в том числе в случае привлечения им субпоставщиков/субподрядчиков для исполнения обязательств по договору.</w:t>
      </w:r>
      <w:r>
        <w:rPr>
          <w:rFonts w:ascii="Tinos" w:hAnsi="Tinos" w:eastAsia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4"/>
        <w:ind w:left="0" w:righ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оставщик обязан возместить Покупателю суммы предъявленных налоговым органом претензий по результатам проведения мероприятий налогового контроля (в том числе вне рамок выездных и камеральных налоговых проверок) в соответствии с требованиями ст. 54.1 НК РФ,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в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озникших из-за установления налоговым органом признаков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опе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рации, не обусловленные разумными экономическими или иными причинами (целями делового характера), не установлено исполнение обязательств по договору надлежащим лицом, иных нарушений, вытекающих из положений ст. 54.1 НК РФ. </w:t>
      </w:r>
      <w:r>
        <w:rPr>
          <w:rFonts w:ascii="Tinos" w:hAnsi="Tinos" w:eastAsia="Tinos" w:cs="Tinos"/>
          <w:sz w:val="22"/>
          <w:szCs w:val="22"/>
          <w:highlight w:val="white"/>
        </w:rPr>
      </w:r>
      <w:r>
        <w:rPr>
          <w:rFonts w:ascii="Tinos" w:hAnsi="Tinos" w:cs="Tinos"/>
          <w:highlight w:val="white"/>
        </w:rPr>
      </w:r>
    </w:p>
    <w:p>
      <w:pPr>
        <w:pStyle w:val="1074"/>
        <w:ind w:left="0" w:righ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Основанием для возмещения Покупателю указанных сумм являются акт по результатам камеральной или выездной проверки, требование налогового органа (оформленное письмом) об устранении выявленных нарушений налогового законодательства.</w:t>
      </w:r>
      <w:r>
        <w:rPr>
          <w:rFonts w:ascii="Tinos" w:hAnsi="Tinos" w:eastAsia="Tinos" w:cs="Tinos"/>
          <w:sz w:val="22"/>
          <w:szCs w:val="22"/>
          <w:highlight w:val="white"/>
        </w:rPr>
      </w:r>
      <w:r>
        <w:rPr>
          <w:rFonts w:ascii="Tinos" w:hAnsi="Tinos" w:cs="Tinos"/>
          <w:highlight w:val="white"/>
        </w:rPr>
      </w:r>
    </w:p>
    <w:p>
      <w:pPr>
        <w:pStyle w:val="1074"/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ри наличии у Покупателя не исполненных обязательств по оплате перед Поставщиком на дату получения претензии налогового органа, Покупатель имеет право не проводить оплату Поставщику в сумме соответствующей сумме предъявленных претензий до момента их возмеще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ния Покупателю или урегулирования разногласий</w:t>
      </w:r>
      <w:r>
        <w:rPr>
          <w:rStyle w:val="1079"/>
          <w:rFonts w:ascii="Tinos" w:hAnsi="Tinos" w:eastAsia="Tinos" w:cs="Tinos"/>
          <w:sz w:val="22"/>
          <w:szCs w:val="22"/>
          <w:highlight w:val="white"/>
        </w:rPr>
        <w:footnoteReference w:id="5"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eastAsia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numPr>
          <w:ilvl w:val="0"/>
          <w:numId w:val="17"/>
        </w:numPr>
        <w:ind w:left="0" w:firstLine="0"/>
        <w:jc w:val="center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b/>
          <w:bCs/>
          <w:sz w:val="22"/>
          <w:szCs w:val="22"/>
          <w:highlight w:val="white"/>
        </w:rPr>
      </w:pPr>
      <w:r>
        <w:rPr>
          <w:rFonts w:ascii="Tinos" w:hAnsi="Tinos" w:eastAsia="Tinos" w:cs="Tinos"/>
          <w:b w:val="0"/>
          <w:bCs w:val="0"/>
          <w:sz w:val="22"/>
          <w:szCs w:val="22"/>
          <w:highlight w:val="white"/>
        </w:rPr>
      </w:r>
      <w:r>
        <w:rPr>
          <w:rFonts w:ascii="Tinos" w:hAnsi="Tinos" w:eastAsia="Tinos" w:cs="Tinos"/>
          <w:b/>
          <w:bCs/>
          <w:sz w:val="22"/>
          <w:szCs w:val="22"/>
          <w:highlight w:val="white"/>
        </w:rPr>
        <w:t xml:space="preserve">Обеспечение исполнения обязательств</w:t>
      </w:r>
      <w:r>
        <w:rPr>
          <w:rStyle w:val="1079"/>
          <w:rFonts w:ascii="Tinos" w:hAnsi="Tinos" w:eastAsia="Tinos" w:cs="Tinos"/>
          <w:b/>
          <w:bCs/>
          <w:sz w:val="22"/>
          <w:szCs w:val="22"/>
          <w:highlight w:val="white"/>
        </w:rPr>
        <w:footnoteReference w:id="6"/>
      </w:r>
      <w:r>
        <w:rPr>
          <w:rFonts w:ascii="Tinos" w:hAnsi="Tinos" w:cs="Tinos"/>
          <w:b/>
          <w:bCs/>
          <w:sz w:val="22"/>
          <w:szCs w:val="22"/>
          <w:highlight w:val="white"/>
        </w:rPr>
      </w:r>
      <w:r>
        <w:rPr>
          <w:rFonts w:ascii="Tinos" w:hAnsi="Tinos" w:cs="Tinos"/>
          <w:b/>
          <w:bCs/>
          <w:sz w:val="22"/>
          <w:szCs w:val="22"/>
          <w:highlight w:val="white"/>
        </w:rPr>
      </w:r>
    </w:p>
    <w:p>
      <w:pPr>
        <w:ind w:left="0" w:firstLine="0"/>
        <w:jc w:val="both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b w:val="0"/>
          <w:bCs w:val="0"/>
          <w:sz w:val="22"/>
          <w:szCs w:val="22"/>
          <w:highlight w:val="white"/>
        </w:rPr>
      </w:pPr>
      <w:r>
        <w:rPr>
          <w:rFonts w:ascii="Tinos" w:hAnsi="Tinos" w:eastAsia="Tinos" w:cs="Tinos"/>
          <w:b w:val="0"/>
          <w:bCs w:val="0"/>
          <w:sz w:val="22"/>
          <w:szCs w:val="22"/>
          <w:highlight w:val="white"/>
        </w:rPr>
        <w:t xml:space="preserve">7.1. </w:t>
      </w:r>
      <w:r>
        <w:rPr>
          <w:rFonts w:ascii="Tinos" w:hAnsi="Tinos" w:eastAsia="Tinos" w:cs="Tinos"/>
          <w:b w:val="0"/>
          <w:bCs w:val="0"/>
          <w:sz w:val="22"/>
          <w:szCs w:val="22"/>
          <w:highlight w:val="white"/>
        </w:rPr>
        <w:t xml:space="preserve">Поставщик должен предоставить обеспечение исполнения обязательств по Договору</w:t>
      </w:r>
      <w:r>
        <w:rPr>
          <w:rStyle w:val="1079"/>
          <w:rFonts w:ascii="Tinos" w:hAnsi="Tinos" w:eastAsia="Tinos" w:cs="Tinos"/>
          <w:b w:val="0"/>
          <w:bCs w:val="0"/>
          <w:sz w:val="22"/>
          <w:szCs w:val="22"/>
          <w:highlight w:val="white"/>
        </w:rPr>
        <w:footnoteReference w:id="7"/>
      </w:r>
      <w:r>
        <w:rPr>
          <w:rFonts w:ascii="Tinos" w:hAnsi="Tinos" w:eastAsia="Tinos" w:cs="Tinos"/>
          <w:b w:val="0"/>
          <w:bCs w:val="0"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b w:val="0"/>
          <w:bCs w:val="0"/>
          <w:sz w:val="22"/>
          <w:szCs w:val="22"/>
          <w:highlight w:val="white"/>
        </w:rPr>
        <w:t xml:space="preserve">в соответствии с Приложением № 5 к настоящему Договору поставки</w:t>
      </w:r>
      <w:r>
        <w:rPr>
          <w:rFonts w:ascii="Tinos" w:hAnsi="Tinos" w:eastAsia="Tinos" w:cs="Tinos"/>
          <w:b w:val="0"/>
          <w:bCs w:val="0"/>
          <w:sz w:val="22"/>
          <w:szCs w:val="22"/>
          <w:highlight w:val="white"/>
        </w:rPr>
        <w:t xml:space="preserve">. </w:t>
      </w:r>
      <w:r>
        <w:rPr>
          <w:rFonts w:ascii="Tinos" w:hAnsi="Tinos" w:eastAsia="Tinos" w:cs="Tinos"/>
          <w:b w:val="0"/>
          <w:bCs w:val="0"/>
          <w:sz w:val="22"/>
          <w:szCs w:val="22"/>
          <w:highlight w:val="white"/>
        </w:rPr>
        <w:t xml:space="preserve">Все расходы, связанные с предоставлением такого обеспечения, несет Поставщик.</w:t>
      </w:r>
      <w:r>
        <w:rPr>
          <w:rFonts w:ascii="Tinos" w:hAnsi="Tinos" w:cs="Tinos"/>
          <w:b w:val="0"/>
          <w:bCs w:val="0"/>
          <w:sz w:val="22"/>
          <w:szCs w:val="22"/>
          <w:highlight w:val="white"/>
        </w:rPr>
      </w:r>
      <w:r>
        <w:rPr>
          <w:rFonts w:ascii="Tinos" w:hAnsi="Tinos" w:cs="Tinos"/>
          <w:b w:val="0"/>
          <w:bCs w:val="0"/>
          <w:sz w:val="22"/>
          <w:szCs w:val="22"/>
          <w:highlight w:val="white"/>
        </w:rPr>
      </w:r>
    </w:p>
    <w:p>
      <w:pPr>
        <w:numPr>
          <w:ilvl w:val="0"/>
          <w:numId w:val="17"/>
        </w:numPr>
        <w:ind w:left="0" w:firstLine="0"/>
        <w:jc w:val="center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b/>
          <w:bCs/>
          <w:sz w:val="22"/>
          <w:szCs w:val="22"/>
          <w:highlight w:val="white"/>
        </w:rPr>
      </w:pPr>
      <w:r>
        <w:rPr>
          <w:rFonts w:ascii="Tinos" w:hAnsi="Tinos" w:eastAsia="Tinos" w:cs="Tinos"/>
          <w:b/>
          <w:bCs/>
          <w:sz w:val="22"/>
          <w:szCs w:val="22"/>
          <w:highlight w:val="white"/>
        </w:rPr>
        <w:t xml:space="preserve">Обстоятельства непреодолимой силы</w:t>
      </w:r>
      <w:r>
        <w:rPr>
          <w:rFonts w:ascii="Tinos" w:hAnsi="Tinos" w:cs="Tinos"/>
          <w:b/>
          <w:bCs/>
          <w:sz w:val="22"/>
          <w:szCs w:val="22"/>
          <w:highlight w:val="white"/>
        </w:rPr>
      </w:r>
      <w:r>
        <w:rPr>
          <w:rFonts w:ascii="Tinos" w:hAnsi="Tinos" w:cs="Tinos"/>
          <w:b/>
          <w:bCs/>
          <w:sz w:val="22"/>
          <w:szCs w:val="22"/>
          <w:highlight w:val="white"/>
        </w:rPr>
      </w:r>
    </w:p>
    <w:p>
      <w:pPr>
        <w:numPr>
          <w:ilvl w:val="1"/>
          <w:numId w:val="17"/>
        </w:numPr>
        <w:ind w:left="0" w:firstLine="0"/>
        <w:jc w:val="both"/>
        <w:keepNext/>
        <w:spacing w:after="0" w:line="17" w:lineRule="atLeast"/>
        <w:tabs>
          <w:tab w:val="left" w:pos="426" w:leader="none"/>
          <w:tab w:val="num" w:pos="709" w:leader="none"/>
          <w:tab w:val="num" w:pos="1440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numPr>
          <w:ilvl w:val="1"/>
          <w:numId w:val="17"/>
        </w:numPr>
        <w:ind w:left="0" w:firstLine="0"/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случаях, предусмотренных в пункте 8.1.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numPr>
          <w:ilvl w:val="1"/>
          <w:numId w:val="17"/>
        </w:numPr>
        <w:ind w:left="0" w:firstLine="0"/>
        <w:jc w:val="both"/>
        <w:keepNext/>
        <w:spacing w:after="0" w:line="17" w:lineRule="atLeast"/>
        <w:tabs>
          <w:tab w:val="left" w:pos="426" w:leader="none"/>
          <w:tab w:val="num" w:pos="709" w:leader="none"/>
          <w:tab w:val="num" w:pos="1440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numPr>
          <w:ilvl w:val="0"/>
          <w:numId w:val="17"/>
        </w:numPr>
        <w:ind w:left="0" w:firstLine="0"/>
        <w:jc w:val="center"/>
        <w:keepNext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b/>
          <w:bCs/>
          <w:sz w:val="22"/>
          <w:szCs w:val="22"/>
          <w:highlight w:val="white"/>
        </w:rPr>
      </w:pPr>
      <w:r>
        <w:rPr>
          <w:rFonts w:ascii="Tinos" w:hAnsi="Tinos" w:eastAsia="Tinos" w:cs="Tinos"/>
          <w:b/>
          <w:bCs/>
          <w:sz w:val="22"/>
          <w:szCs w:val="22"/>
          <w:highlight w:val="white"/>
        </w:rPr>
        <w:t xml:space="preserve">Антикоррупционн</w:t>
      </w:r>
      <w:r>
        <w:rPr>
          <w:rFonts w:ascii="Tinos" w:hAnsi="Tinos" w:eastAsia="Tinos" w:cs="Tinos"/>
          <w:b/>
          <w:bCs/>
          <w:sz w:val="22"/>
          <w:szCs w:val="22"/>
          <w:highlight w:val="white"/>
        </w:rPr>
        <w:t xml:space="preserve">ая</w:t>
      </w:r>
      <w:r>
        <w:rPr>
          <w:rFonts w:ascii="Tinos" w:hAnsi="Tinos" w:eastAsia="Tinos" w:cs="Tinos"/>
          <w:b/>
          <w:bCs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b/>
          <w:bCs/>
          <w:sz w:val="22"/>
          <w:szCs w:val="22"/>
          <w:highlight w:val="white"/>
        </w:rPr>
        <w:t xml:space="preserve">оговорка</w:t>
      </w:r>
      <w:r>
        <w:rPr>
          <w:rFonts w:ascii="Tinos" w:hAnsi="Tinos" w:cs="Tinos"/>
          <w:b/>
          <w:bCs/>
          <w:sz w:val="22"/>
          <w:szCs w:val="22"/>
          <w:highlight w:val="white"/>
        </w:rPr>
      </w:r>
      <w:r>
        <w:rPr>
          <w:rFonts w:ascii="Tinos" w:hAnsi="Tinos" w:cs="Tinos"/>
          <w:b/>
          <w:bCs/>
          <w:sz w:val="22"/>
          <w:szCs w:val="22"/>
          <w:highlight w:val="white"/>
        </w:rPr>
      </w:r>
    </w:p>
    <w:p>
      <w:pPr>
        <w:pStyle w:val="1094"/>
        <w:numPr>
          <w:ilvl w:val="1"/>
          <w:numId w:val="17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Поставщику известно о том, что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АО «Россети Сибирь Тываэнерго»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numPr>
          <w:ilvl w:val="1"/>
          <w:numId w:val="17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АО «Россети Сибирь Тываэнерго»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по адресу: </w:t>
      </w:r>
      <w:hyperlink r:id="rId12" w:tooltip="http://www.tuvaenergo.ru/buy/corruption.php" w:history="1">
        <w:r>
          <w:rPr>
            <w:rStyle w:val="1083"/>
            <w:rFonts w:ascii="Tinos" w:hAnsi="Tinos" w:eastAsia="Tinos" w:cs="Tinos"/>
            <w:sz w:val="22"/>
            <w:szCs w:val="22"/>
            <w:highlight w:val="white"/>
          </w:rPr>
          <w:t xml:space="preserve">http://www.tuvaenergo.ru/buy/corruption.php</w:t>
        </w:r>
      </w:hyperlink>
      <w:r>
        <w:rPr>
          <w:rFonts w:ascii="Tinos" w:hAnsi="Tinos" w:eastAsia="Tinos" w:cs="Tinos"/>
          <w:sz w:val="22"/>
          <w:szCs w:val="22"/>
          <w:highlight w:val="white"/>
        </w:rPr>
        <w:t xml:space="preserve">, полностью принимает положения Антик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numPr>
          <w:ilvl w:val="1"/>
          <w:numId w:val="17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ind w:left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numPr>
          <w:ilvl w:val="1"/>
          <w:numId w:val="17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9.1 –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9.3 Антикоррупционной оговорки, указанная Сторона обязуется уведомить другую Сторону в письменной форме. После письменног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ind w:left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9.1,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9.2 Антикоррупционной оговорки любой из Сторон, аффилированными лицами, работниками или посредниками.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numPr>
          <w:ilvl w:val="1"/>
          <w:numId w:val="17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9.1,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9.2 Антикоррупционной оговорки, и обязательств воздерживаться от запрещенных в пункте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numPr>
          <w:ilvl w:val="0"/>
          <w:numId w:val="17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b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b/>
          <w:sz w:val="22"/>
          <w:szCs w:val="22"/>
          <w:highlight w:val="white"/>
        </w:rPr>
        <w:t xml:space="preserve"> Конфиденциальность</w:t>
      </w:r>
      <w:r>
        <w:rPr>
          <w:rFonts w:ascii="Tinos" w:hAnsi="Tinos" w:cs="Tinos"/>
          <w:b/>
          <w:sz w:val="22"/>
          <w:szCs w:val="22"/>
          <w:highlight w:val="white"/>
        </w:rPr>
      </w:r>
      <w:r>
        <w:rPr>
          <w:rFonts w:ascii="Tinos" w:hAnsi="Tinos" w:cs="Tinos"/>
          <w:b/>
          <w:sz w:val="22"/>
          <w:szCs w:val="22"/>
          <w:highlight w:val="white"/>
        </w:rPr>
      </w:r>
    </w:p>
    <w:p>
      <w:pPr>
        <w:pStyle w:val="107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426" w:leader="none"/>
          <w:tab w:val="left" w:pos="567" w:leader="none"/>
          <w:tab w:val="left" w:pos="644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426" w:leader="none"/>
          <w:tab w:val="left" w:pos="567" w:leader="none"/>
          <w:tab w:val="left" w:pos="644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Требования п. 10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426" w:leader="none"/>
          <w:tab w:val="left" w:pos="567" w:leader="none"/>
          <w:tab w:val="left" w:pos="644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426" w:leader="none"/>
          <w:tab w:val="left" w:pos="567" w:leader="none"/>
          <w:tab w:val="left" w:pos="644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Любой ущерб, причиненный Стороне нес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облюдением требований раздела 9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настоящего Договора, подлежит полному возмещению виновной Стороной.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426" w:leader="none"/>
          <w:tab w:val="left" w:pos="567" w:leader="none"/>
          <w:tab w:val="left" w:pos="644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numPr>
          <w:ilvl w:val="0"/>
          <w:numId w:val="17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b/>
          <w:sz w:val="22"/>
          <w:szCs w:val="22"/>
          <w:highlight w:val="white"/>
        </w:rPr>
        <w:t xml:space="preserve">Уступка права требования</w:t>
      </w:r>
      <w:r>
        <w:rPr>
          <w:rStyle w:val="1079"/>
          <w:rFonts w:ascii="Tinos" w:hAnsi="Tinos" w:eastAsia="Tinos" w:cs="Tinos"/>
          <w:b/>
          <w:sz w:val="22"/>
          <w:szCs w:val="22"/>
          <w:highlight w:val="white"/>
        </w:rPr>
        <w:footnoteReference w:id="8"/>
      </w:r>
      <w:r>
        <w:rPr>
          <w:rFonts w:ascii="Tinos" w:hAnsi="Tinos" w:cs="Tinos"/>
          <w:b/>
          <w:sz w:val="22"/>
          <w:szCs w:val="22"/>
          <w:highlight w:val="white"/>
        </w:rPr>
      </w:r>
      <w:r>
        <w:rPr>
          <w:rFonts w:ascii="Tinos" w:hAnsi="Tinos" w:cs="Tinos"/>
          <w:b/>
          <w:sz w:val="22"/>
          <w:szCs w:val="22"/>
          <w:highlight w:val="white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11.1.</w:t>
      </w:r>
      <w:r>
        <w:rPr>
          <w:rFonts w:ascii="Tinos" w:hAnsi="Tinos" w:eastAsia="Tinos" w:cs="Tinos"/>
          <w:sz w:val="22"/>
          <w:szCs w:val="22"/>
          <w:highlight w:val="white"/>
        </w:rPr>
        <w:tab/>
        <w:t xml:space="preserve"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11.2.</w:t>
      </w:r>
      <w:r>
        <w:rPr>
          <w:rFonts w:ascii="Tinos" w:hAnsi="Tinos" w:eastAsia="Tinos" w:cs="Tinos"/>
          <w:sz w:val="22"/>
          <w:szCs w:val="22"/>
          <w:highlight w:val="white"/>
        </w:rPr>
        <w:tab/>
        <w:t xml:space="preserve"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11.3.</w:t>
      </w:r>
      <w:r>
        <w:rPr>
          <w:rFonts w:ascii="Tinos" w:hAnsi="Tinos" w:eastAsia="Tinos" w:cs="Tinos"/>
          <w:sz w:val="22"/>
          <w:szCs w:val="22"/>
          <w:highlight w:val="white"/>
        </w:rPr>
        <w:tab/>
        <w:t xml:space="preserve">В случае переуступки Поставщиком права денежного требования по договору с Обществом (Покупателем) с нарушение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м условий, указанных в пункте 11.1 и/или 11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.2, Поставщик уплачивает Обществу (Покупателю) штраф за каждое нарушение в размере 1% от стоимости заключенного договора.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11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.4.</w:t>
      </w:r>
      <w:r>
        <w:rPr>
          <w:rFonts w:ascii="Tinos" w:hAnsi="Tinos" w:eastAsia="Tinos" w:cs="Tinos"/>
          <w:sz w:val="22"/>
          <w:szCs w:val="22"/>
          <w:highlight w:val="white"/>
        </w:rPr>
        <w:tab/>
        <w:t xml:space="preserve">Куратор договора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в течение 1 (одного) рабочего дня с даты получения в соо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тветствии с п. 11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.1 оригинала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3" w:tooltip="mailto:cfd@rosseti.ru" w:history="1">
        <w:r>
          <w:rPr>
            <w:rStyle w:val="1083"/>
            <w:rFonts w:ascii="Tinos" w:hAnsi="Tinos" w:eastAsia="Tinos" w:cs="Tinos"/>
            <w:sz w:val="22"/>
            <w:szCs w:val="22"/>
            <w:highlight w:val="white"/>
          </w:rPr>
          <w:t xml:space="preserve">cfd@rosseti.ru</w:t>
        </w:r>
      </w:hyperlink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eastAsia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numPr>
          <w:ilvl w:val="0"/>
          <w:numId w:val="17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b/>
          <w:sz w:val="22"/>
          <w:szCs w:val="22"/>
          <w:highlight w:val="white"/>
        </w:rPr>
        <w:t xml:space="preserve">Толкование договора</w:t>
      </w:r>
      <w:r>
        <w:rPr>
          <w:rFonts w:ascii="Tinos" w:hAnsi="Tinos" w:cs="Tinos"/>
          <w:b/>
          <w:sz w:val="22"/>
          <w:szCs w:val="22"/>
          <w:highlight w:val="white"/>
        </w:rPr>
      </w:r>
      <w:r>
        <w:rPr>
          <w:rFonts w:ascii="Tinos" w:hAnsi="Tinos" w:cs="Tinos"/>
          <w:b/>
          <w:sz w:val="22"/>
          <w:szCs w:val="22"/>
          <w:highlight w:val="white"/>
        </w:rPr>
      </w:r>
    </w:p>
    <w:p>
      <w:pPr>
        <w:pStyle w:val="1074"/>
        <w:numPr>
          <w:ilvl w:val="1"/>
          <w:numId w:val="17"/>
        </w:numPr>
        <w:ind w:left="0"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4"/>
        <w:numPr>
          <w:ilvl w:val="1"/>
          <w:numId w:val="17"/>
        </w:numPr>
        <w:ind w:left="0"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Настоящий Договор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numPr>
          <w:ilvl w:val="0"/>
          <w:numId w:val="17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b/>
          <w:sz w:val="22"/>
          <w:szCs w:val="22"/>
          <w:highlight w:val="white"/>
        </w:rPr>
        <w:t xml:space="preserve">Особые условия</w:t>
      </w:r>
      <w:r>
        <w:rPr>
          <w:rFonts w:ascii="Tinos" w:hAnsi="Tinos" w:cs="Tinos"/>
          <w:b/>
          <w:sz w:val="22"/>
          <w:szCs w:val="22"/>
          <w:highlight w:val="white"/>
        </w:rPr>
      </w:r>
      <w:r>
        <w:rPr>
          <w:rFonts w:ascii="Tinos" w:hAnsi="Tinos" w:cs="Tinos"/>
          <w:b/>
          <w:sz w:val="22"/>
          <w:szCs w:val="22"/>
          <w:highlight w:val="white"/>
        </w:rPr>
      </w:r>
    </w:p>
    <w:p>
      <w:pPr>
        <w:pStyle w:val="107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Поставщик обязуется предоставлять Покупателю: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numPr>
          <w:ilvl w:val="0"/>
          <w:numId w:val="4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информацию о полной цепочке собственников, включая конечных бенефициаров, а также о составе и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2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к настоящему Договору, а также в формате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Excel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и PDF на адрес электронной почты </w:t>
      </w:r>
      <w:hyperlink r:id="rId14" w:tooltip="mailto:EvtifevaDV@tv.rosseti-sib.ru" w:history="1">
        <w:r>
          <w:rPr>
            <w:rStyle w:val="1083"/>
            <w:rFonts w:ascii="Tinos" w:hAnsi="Tinos" w:eastAsia="Tinos" w:cs="Tinos"/>
            <w:sz w:val="22"/>
            <w:szCs w:val="22"/>
            <w:highlight w:val="white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  <w:highlight w:val="white"/>
        </w:rPr>
        <w:t xml:space="preserve">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numPr>
          <w:ilvl w:val="0"/>
          <w:numId w:val="4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2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к настоящему Договору, а также в формате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Excel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и PDF на адрес электронной почты </w:t>
      </w:r>
      <w:hyperlink r:id="rId15" w:tooltip="mailto:EvtifevaDV@tv.rosseti-sib.ru" w:history="1">
        <w:r>
          <w:rPr>
            <w:rStyle w:val="1083"/>
            <w:rFonts w:ascii="Tinos" w:hAnsi="Tinos" w:eastAsia="Tinos" w:cs="Tinos"/>
            <w:sz w:val="22"/>
            <w:szCs w:val="22"/>
            <w:highlight w:val="white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ind w:right="40"/>
        <w:jc w:val="both"/>
        <w:spacing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№ 2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к настоящему Договору, не позднее 3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(трех)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календарных дней с даты наступления соответствующего события (юридического факта) способом, позволяющим подтвердить дату получения и в формате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Excel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и PDF на адрес электронной почты </w:t>
      </w:r>
      <w:hyperlink r:id="rId16" w:tooltip="mailto:EvtifevaDV@tv.rosseti-sib.ru" w:history="1">
        <w:r>
          <w:rPr>
            <w:rStyle w:val="1083"/>
            <w:rFonts w:ascii="Tinos" w:hAnsi="Tinos" w:eastAsia="Tinos" w:cs="Tinos"/>
            <w:sz w:val="22"/>
            <w:szCs w:val="22"/>
            <w:highlight w:val="white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  <w:highlight w:val="white"/>
        </w:rPr>
        <w:t xml:space="preserve">. 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ind w:right="40"/>
        <w:jc w:val="both"/>
        <w:spacing w:after="0" w:line="17" w:lineRule="atLeast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орме, указанной в Приложении №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3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к настоящему Договору.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невыполнения или ненадлежащего выполнения Поставщиком обязательств, предусмотренных п. 1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hAnsi="Tinos" w:eastAsia="Tinos" w:cs="Tinos"/>
          <w:spacing w:val="-4"/>
          <w:sz w:val="22"/>
          <w:szCs w:val="22"/>
          <w:highlight w:val="white"/>
          <w:lang w:eastAsia="en-US"/>
        </w:rPr>
        <w:t xml:space="preserve">письменно уведомив об этом Поставщика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 </w:t>
      </w:r>
      <w:r>
        <w:rPr>
          <w:rFonts w:ascii="Tinos" w:hAnsi="Tinos" w:eastAsia="Tinos" w:cs="Tinos"/>
          <w:spacing w:val="-4"/>
          <w:sz w:val="22"/>
          <w:szCs w:val="22"/>
          <w:highlight w:val="white"/>
          <w:lang w:eastAsia="en-US"/>
        </w:rPr>
        <w:t xml:space="preserve"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Поставщик гарантирует, что: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numPr>
          <w:ilvl w:val="0"/>
          <w:numId w:val="4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зарегистрирован в ЕГРЮЛ надлежащим образом;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numPr>
          <w:ilvl w:val="0"/>
          <w:numId w:val="4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numPr>
          <w:ilvl w:val="0"/>
          <w:numId w:val="43"/>
        </w:numPr>
        <w:ind w:left="0" w:right="40" w:firstLine="0"/>
        <w:jc w:val="both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numPr>
          <w:ilvl w:val="0"/>
          <w:numId w:val="4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numPr>
          <w:ilvl w:val="0"/>
          <w:numId w:val="4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numPr>
          <w:ilvl w:val="0"/>
          <w:numId w:val="4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numPr>
          <w:ilvl w:val="0"/>
          <w:numId w:val="4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numPr>
          <w:ilvl w:val="0"/>
          <w:numId w:val="4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ведет налоговый учет и составляет на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numPr>
          <w:ilvl w:val="0"/>
          <w:numId w:val="4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numPr>
          <w:ilvl w:val="0"/>
          <w:numId w:val="4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не допускает, и не является организатором, сбыта заведомо подложных счетов-фактур и(или) представления в налоговые органы подложных налоговых деклараций (расчетов);</w:t>
      </w:r>
      <w:r>
        <w:rPr>
          <w:rFonts w:ascii="Tinos" w:hAnsi="Tinos" w:eastAsia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numPr>
          <w:ilvl w:val="0"/>
          <w:numId w:val="4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своевременно и в полном объеме уплачивает налоги, сборы и страховые взносы;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numPr>
          <w:ilvl w:val="0"/>
          <w:numId w:val="4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отражает в налоговой отчетности по НДС все суммы НДС, предъявленные Покупателю;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numPr>
          <w:ilvl w:val="0"/>
          <w:numId w:val="4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4"/>
        <w:ind w:left="0" w:firstLine="0"/>
        <w:spacing w:before="0" w:after="0" w:line="17" w:lineRule="atLeast"/>
        <w:tabs>
          <w:tab w:val="num" w:pos="567" w:leader="none"/>
          <w:tab w:val="clear" w:pos="644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13.4.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В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качестве подтверждения заверений и гарантий, указанных в п. 12.3. Договора, Поставщик обязан на момент поставки предоставить Покупателю Выписку из сервиса оценки юридических лиц (предусмотрена Методикой проведения оценки юридического лица на базе интерак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тивного сервиса «Личный кабинет налогоплательщика юридического лица» АИС «Налог-3»).</w:t>
      </w:r>
      <w:r>
        <w:rPr>
          <w:rFonts w:ascii="Tinos" w:hAnsi="Tinos" w:eastAsia="Tinos" w:cs="Tinos"/>
          <w:sz w:val="22"/>
          <w:szCs w:val="22"/>
          <w:highlight w:val="white"/>
        </w:rPr>
      </w:r>
      <w:r>
        <w:rPr>
          <w:rFonts w:ascii="Tinos" w:hAnsi="Tinos" w:cs="Tinos"/>
          <w:highlight w:val="white"/>
        </w:rPr>
      </w:r>
    </w:p>
    <w:p>
      <w:pPr>
        <w:pStyle w:val="1074"/>
        <w:ind w:left="0" w:firstLine="0"/>
        <w:spacing w:before="0" w:after="0" w:line="17" w:lineRule="atLeast"/>
        <w:tabs>
          <w:tab w:val="num" w:pos="567" w:leader="none"/>
          <w:tab w:val="clear" w:pos="644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При привлечении к исполнению договора субпоставщиков/субподрядчиков, указанный выше документ, дополнительно представляется в отношении каждого привлеченного субпоставщика/субподрядчика, участвовавшего в исполнении Договора.</w:t>
      </w:r>
      <w:r>
        <w:rPr>
          <w:rFonts w:ascii="Tinos" w:hAnsi="Tinos" w:eastAsia="Tinos" w:cs="Tinos"/>
          <w:sz w:val="22"/>
          <w:szCs w:val="22"/>
          <w:highlight w:val="white"/>
        </w:rPr>
      </w:r>
      <w:r>
        <w:rPr>
          <w:rFonts w:ascii="Tinos" w:hAnsi="Tinos" w:cs="Tinos"/>
          <w:highlight w:val="white"/>
        </w:rPr>
      </w:r>
    </w:p>
    <w:p>
      <w:p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ри выявлении объективных признаков отсутствия или недостаточности у Поставщика  (субпоставщиков/субподрядчиков при их привлечении) материально-технических и трудовых ресурсов необходимых для исполнения обязательств по договору, наличия иных факторов влекущ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их риски предъявления претензий Покупателю в соответствии со ст. 54.1 НК РФ, либо ст.173.3 НК РФ, Покупатель имеет право не осуществлять приемку Товара до момента урегулирования выявленных недостатков</w:t>
      </w:r>
      <w:r>
        <w:rPr>
          <w:rFonts w:ascii="Tinos" w:hAnsi="Tinos" w:eastAsia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4"/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13.5. Если Поставщик нарушит гарантии (любую одну, несколько или все вместе), указанные в п. 1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3.3. настоящего Договора, и это повлечет: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numPr>
          <w:ilvl w:val="0"/>
          <w:numId w:val="44"/>
        </w:numPr>
        <w:ind w:left="0" w:right="0" w:firstLine="0"/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  <w:tab w:val="left" w:pos="127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предъявление налоговыми органами требований к </w:t>
      </w:r>
      <w:r>
        <w:rPr>
          <w:rFonts w:ascii="Tinos" w:hAnsi="Tinos" w:eastAsia="Tinos" w:cs="Tinos"/>
          <w:spacing w:val="-2"/>
          <w:sz w:val="22"/>
          <w:szCs w:val="22"/>
          <w:highlight w:val="white"/>
        </w:rPr>
        <w:t xml:space="preserve">Покупателю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4"/>
        <w:numPr>
          <w:ilvl w:val="0"/>
          <w:numId w:val="44"/>
        </w:numPr>
        <w:ind w:left="0" w:right="0" w:firstLine="0"/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  <w:tab w:val="left" w:pos="127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предъявление третьими лицами, купившими у </w:t>
      </w:r>
      <w:r>
        <w:rPr>
          <w:rFonts w:ascii="Tinos" w:hAnsi="Tinos" w:eastAsia="Tinos" w:cs="Tinos"/>
          <w:spacing w:val="-2"/>
          <w:sz w:val="22"/>
          <w:szCs w:val="22"/>
          <w:highlight w:val="white"/>
        </w:rPr>
        <w:t xml:space="preserve">Покупателя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hAnsi="Tinos" w:eastAsia="Tinos" w:cs="Tinos"/>
          <w:spacing w:val="-2"/>
          <w:sz w:val="22"/>
          <w:szCs w:val="22"/>
          <w:highlight w:val="white"/>
        </w:rPr>
        <w:t xml:space="preserve">Покупателю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о воз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ind w:left="0" w:right="0" w:firstLine="0"/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  <w:tab w:val="left" w:pos="127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то </w:t>
      </w:r>
      <w:r>
        <w:rPr>
          <w:rFonts w:ascii="Tinos" w:hAnsi="Tinos" w:eastAsia="Tinos" w:cs="Tinos"/>
          <w:spacing w:val="-2"/>
          <w:sz w:val="22"/>
          <w:szCs w:val="22"/>
          <w:highlight w:val="white"/>
        </w:rPr>
        <w:t xml:space="preserve">Поставщик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обязуется возместить </w:t>
      </w:r>
      <w:r>
        <w:rPr>
          <w:rFonts w:ascii="Tinos" w:hAnsi="Tinos" w:eastAsia="Tinos" w:cs="Tinos"/>
          <w:spacing w:val="-2"/>
          <w:sz w:val="22"/>
          <w:szCs w:val="22"/>
          <w:highlight w:val="white"/>
        </w:rPr>
        <w:t xml:space="preserve">Покупателю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убытки, который последний понес вследствие таких нарушений. 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4"/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pacing w:val="-2"/>
          <w:sz w:val="22"/>
          <w:szCs w:val="22"/>
          <w:highlight w:val="white"/>
        </w:rPr>
        <w:t xml:space="preserve">13.6 Поставщик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hAnsi="Tinos" w:eastAsia="Tinos" w:cs="Tinos"/>
          <w:spacing w:val="-2"/>
          <w:sz w:val="22"/>
          <w:szCs w:val="22"/>
          <w:highlight w:val="white"/>
        </w:rPr>
        <w:t xml:space="preserve">Покупателю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все убытки последнего, возникшие в случаях, указанных в п. 1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3.3. настоящего Договора. При этом факт оспаривания или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неоспаривания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неоспаривания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в суде претензий третьих лиц не влияет на обязанность </w:t>
      </w:r>
      <w:r>
        <w:rPr>
          <w:rFonts w:ascii="Tinos" w:hAnsi="Tinos" w:eastAsia="Tinos" w:cs="Tinos"/>
          <w:spacing w:val="-2"/>
          <w:sz w:val="22"/>
          <w:szCs w:val="22"/>
          <w:highlight w:val="white"/>
        </w:rPr>
        <w:t xml:space="preserve">Поставщика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возместить имущественные потери.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numPr>
          <w:ilvl w:val="0"/>
          <w:numId w:val="17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b/>
          <w:sz w:val="22"/>
          <w:szCs w:val="22"/>
          <w:highlight w:val="white"/>
        </w:rPr>
        <w:t xml:space="preserve">Заключительные положения</w:t>
      </w:r>
      <w:r>
        <w:rPr>
          <w:rFonts w:ascii="Tinos" w:hAnsi="Tinos" w:cs="Tinos"/>
          <w:b/>
          <w:sz w:val="22"/>
          <w:szCs w:val="22"/>
          <w:highlight w:val="white"/>
        </w:rPr>
      </w:r>
      <w:r>
        <w:rPr>
          <w:rFonts w:ascii="Tinos" w:hAnsi="Tinos" w:cs="Tinos"/>
          <w:b/>
          <w:sz w:val="22"/>
          <w:szCs w:val="22"/>
          <w:highlight w:val="white"/>
        </w:rPr>
      </w:r>
    </w:p>
    <w:p>
      <w:pPr>
        <w:pStyle w:val="1066"/>
        <w:numPr>
          <w:ilvl w:val="1"/>
          <w:numId w:val="17"/>
        </w:numPr>
        <w:ind w:left="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Ответственный представитель за согласование всех вопросов по настоящему До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говору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: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66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со стороны Поставщика –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_______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,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тел.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: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_______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, </w:t>
      </w:r>
      <w:r>
        <w:rPr>
          <w:rFonts w:ascii="Tinos" w:hAnsi="Tinos" w:eastAsia="Tinos" w:cs="Tinos"/>
          <w:sz w:val="22"/>
          <w:szCs w:val="22"/>
          <w:highlight w:val="white"/>
          <w:lang w:val="en-US"/>
        </w:rPr>
        <w:t xml:space="preserve">e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-</w:t>
      </w:r>
      <w:r>
        <w:rPr>
          <w:rFonts w:ascii="Tinos" w:hAnsi="Tinos" w:eastAsia="Tinos" w:cs="Tinos"/>
          <w:sz w:val="22"/>
          <w:szCs w:val="22"/>
          <w:highlight w:val="white"/>
          <w:lang w:val="en-US"/>
        </w:rPr>
        <w:t xml:space="preserve">mail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: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______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66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со стороны Покупателя -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Батурин Николай Владимирович, тел.: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+7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(39422) 9-86-54, 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66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  <w:lang w:val="en-US"/>
        </w:rPr>
        <w:t xml:space="preserve">e-mail</w:t>
      </w:r>
      <w:r>
        <w:rPr>
          <w:rFonts w:ascii="Tinos" w:hAnsi="Tinos" w:eastAsia="Tinos" w:cs="Tinos"/>
          <w:sz w:val="22"/>
          <w:szCs w:val="22"/>
          <w:highlight w:val="white"/>
          <w:lang w:val="en-US"/>
        </w:rPr>
        <w:t xml:space="preserve">: </w:t>
      </w:r>
      <w:hyperlink r:id="rId17" w:tooltip="mailto:BaturinNV@tuva.mrsk-sib.ru" w:history="1">
        <w:r>
          <w:rPr>
            <w:rStyle w:val="1083"/>
            <w:rFonts w:ascii="Tinos" w:hAnsi="Tinos" w:eastAsia="Tinos" w:cs="Tinos"/>
            <w:sz w:val="22"/>
            <w:szCs w:val="22"/>
            <w:highlight w:val="white"/>
            <w:lang w:val="en-US"/>
          </w:rPr>
          <w:t xml:space="preserve">Baturin_NV@tv.rosseti-sib.ru</w:t>
        </w:r>
      </w:hyperlink>
      <w:r>
        <w:rPr>
          <w:rFonts w:ascii="Tinos" w:hAnsi="Tinos" w:eastAsia="Tinos" w:cs="Tinos"/>
          <w:sz w:val="22"/>
          <w:szCs w:val="22"/>
          <w:highlight w:val="white"/>
          <w:lang w:val="en-US"/>
        </w:rPr>
        <w:t xml:space="preserve">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66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Кулар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Аржаан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Юрьевич: +7 (39422) 9-85-29, 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66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  <w:lang w:val="en-US"/>
        </w:rPr>
        <w:t xml:space="preserve">e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-</w:t>
      </w:r>
      <w:r>
        <w:rPr>
          <w:rFonts w:ascii="Tinos" w:hAnsi="Tinos" w:eastAsia="Tinos" w:cs="Tinos"/>
          <w:sz w:val="22"/>
          <w:szCs w:val="22"/>
          <w:highlight w:val="white"/>
          <w:lang w:val="en-US"/>
        </w:rPr>
        <w:t xml:space="preserve">mail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: </w:t>
      </w:r>
      <w:hyperlink r:id="rId18" w:tooltip="mailto:KularAY@tv.rosseti-sib.ru" w:history="1">
        <w:r>
          <w:rPr>
            <w:rStyle w:val="1083"/>
            <w:rFonts w:ascii="Tinos" w:hAnsi="Tinos" w:eastAsia="Tinos" w:cs="Tinos"/>
            <w:sz w:val="22"/>
            <w:szCs w:val="22"/>
            <w:highlight w:val="white"/>
            <w:lang w:val="en-US"/>
          </w:rPr>
          <w:t xml:space="preserve">Kular_AY</w:t>
        </w:r>
        <w:r>
          <w:rPr>
            <w:rStyle w:val="1083"/>
            <w:rFonts w:ascii="Tinos" w:hAnsi="Tinos" w:eastAsia="Tinos" w:cs="Tinos"/>
            <w:sz w:val="22"/>
            <w:szCs w:val="22"/>
            <w:highlight w:val="white"/>
          </w:rPr>
          <w:t xml:space="preserve">@</w:t>
        </w:r>
        <w:r>
          <w:rPr>
            <w:rStyle w:val="1083"/>
            <w:rFonts w:ascii="Tinos" w:hAnsi="Tinos" w:eastAsia="Tinos" w:cs="Tinos"/>
            <w:sz w:val="22"/>
            <w:szCs w:val="22"/>
            <w:highlight w:val="white"/>
            <w:lang w:val="en-US"/>
          </w:rPr>
          <w:t xml:space="preserve">tv</w:t>
        </w:r>
        <w:r>
          <w:rPr>
            <w:rStyle w:val="1083"/>
            <w:rFonts w:ascii="Tinos" w:hAnsi="Tinos" w:eastAsia="Tinos" w:cs="Tinos"/>
            <w:sz w:val="22"/>
            <w:szCs w:val="22"/>
            <w:highlight w:val="white"/>
          </w:rPr>
          <w:t xml:space="preserve">.</w:t>
        </w:r>
        <w:r>
          <w:rPr>
            <w:rStyle w:val="1083"/>
            <w:rFonts w:ascii="Tinos" w:hAnsi="Tinos" w:eastAsia="Tinos" w:cs="Tinos"/>
            <w:sz w:val="22"/>
            <w:szCs w:val="22"/>
            <w:highlight w:val="white"/>
            <w:lang w:val="en-US"/>
          </w:rPr>
          <w:t xml:space="preserve">rosseti</w:t>
        </w:r>
        <w:r>
          <w:rPr>
            <w:rStyle w:val="1083"/>
            <w:rFonts w:ascii="Tinos" w:hAnsi="Tinos" w:eastAsia="Tinos" w:cs="Tinos"/>
            <w:sz w:val="22"/>
            <w:szCs w:val="22"/>
            <w:highlight w:val="white"/>
          </w:rPr>
          <w:t xml:space="preserve">-</w:t>
        </w:r>
        <w:r>
          <w:rPr>
            <w:rStyle w:val="1083"/>
            <w:rFonts w:ascii="Tinos" w:hAnsi="Tinos" w:eastAsia="Tinos" w:cs="Tinos"/>
            <w:sz w:val="22"/>
            <w:szCs w:val="22"/>
            <w:highlight w:val="white"/>
            <w:lang w:val="en-US"/>
          </w:rPr>
          <w:t xml:space="preserve">sib</w:t>
        </w:r>
        <w:r>
          <w:rPr>
            <w:rStyle w:val="1083"/>
            <w:rFonts w:ascii="Tinos" w:hAnsi="Tinos" w:eastAsia="Tinos" w:cs="Tinos"/>
            <w:sz w:val="22"/>
            <w:szCs w:val="22"/>
            <w:highlight w:val="white"/>
          </w:rPr>
          <w:t xml:space="preserve">.</w:t>
        </w:r>
        <w:r>
          <w:rPr>
            <w:rStyle w:val="1083"/>
            <w:rFonts w:ascii="Tinos" w:hAnsi="Tinos" w:eastAsia="Tinos" w:cs="Tinos"/>
            <w:sz w:val="22"/>
            <w:szCs w:val="22"/>
            <w:highlight w:val="white"/>
            <w:lang w:val="en-US"/>
          </w:rPr>
          <w:t xml:space="preserve">ru</w:t>
        </w:r>
      </w:hyperlink>
      <w:r>
        <w:rPr>
          <w:rFonts w:ascii="Tinos" w:hAnsi="Tinos" w:eastAsia="Tinos" w:cs="Tinos"/>
          <w:sz w:val="22"/>
          <w:szCs w:val="22"/>
          <w:highlight w:val="white"/>
        </w:rPr>
        <w:t xml:space="preserve">. 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66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Часы работы: Пн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–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Пт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с 8:00-17: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00.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numPr>
          <w:ilvl w:val="1"/>
          <w:numId w:val="17"/>
        </w:numPr>
        <w:ind w:left="0" w:firstLine="0"/>
        <w:jc w:val="both"/>
        <w:spacing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невыполне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Настоящий Договор вступает в силу с момента его подписания Сторонами и действует до полного исполнения сторонами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своих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обязательств.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bCs/>
          <w:sz w:val="22"/>
          <w:szCs w:val="22"/>
          <w:highlight w:val="white"/>
        </w:rPr>
        <w:t xml:space="preserve">Настоящий Договор со всеми его дополнительными соглашени</w:t>
      </w:r>
      <w:r>
        <w:rPr>
          <w:rFonts w:ascii="Tinos" w:hAnsi="Tinos" w:eastAsia="Tinos" w:cs="Tinos"/>
          <w:bCs/>
          <w:sz w:val="22"/>
          <w:szCs w:val="22"/>
          <w:highlight w:val="white"/>
        </w:rPr>
        <w:t xml:space="preserve">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4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4"/>
        <w:numPr>
          <w:ilvl w:val="1"/>
          <w:numId w:val="17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4"/>
        <w:numPr>
          <w:ilvl w:val="1"/>
          <w:numId w:val="17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pacing w:val="-4"/>
          <w:sz w:val="22"/>
          <w:szCs w:val="22"/>
          <w:highlight w:val="white"/>
        </w:rPr>
        <w:t xml:space="preserve"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9" w:tooltip="mailto:EvtifevaDV@tv.rosseti-sib.ru" w:history="1">
        <w:r>
          <w:rPr>
            <w:rStyle w:val="1083"/>
            <w:rFonts w:ascii="Tinos" w:hAnsi="Tinos" w:eastAsia="Tinos" w:cs="Tinos"/>
            <w:sz w:val="22"/>
            <w:szCs w:val="22"/>
            <w:highlight w:val="white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  <w:highlight w:val="white"/>
        </w:rPr>
        <w:t xml:space="preserve">, </w:t>
      </w:r>
      <w:hyperlink r:id="rId20" w:tooltip="mailto:BaturinNV@tv.rosseti-sib.ru" w:history="1">
        <w:r>
          <w:rPr>
            <w:rStyle w:val="1083"/>
            <w:rFonts w:ascii="Tinos" w:hAnsi="Tinos" w:eastAsia="Tinos" w:cs="Tinos"/>
            <w:sz w:val="22"/>
            <w:szCs w:val="22"/>
            <w:highlight w:val="white"/>
          </w:rPr>
          <w:t xml:space="preserve">Baturin_NV@tv.rosseti-sib.ru</w:t>
        </w:r>
      </w:hyperlink>
      <w:r>
        <w:rPr>
          <w:rFonts w:ascii="Tinos" w:hAnsi="Tinos" w:eastAsia="Tinos" w:cs="Tinos"/>
          <w:sz w:val="22"/>
          <w:szCs w:val="22"/>
          <w:highlight w:val="white"/>
        </w:rPr>
        <w:t xml:space="preserve">, </w:t>
      </w:r>
      <w:r>
        <w:rPr>
          <w:rFonts w:ascii="Tinos" w:hAnsi="Tinos" w:eastAsia="Tinos" w:cs="Tinos"/>
          <w:color w:val="0000ff"/>
          <w:sz w:val="22"/>
          <w:szCs w:val="22"/>
          <w:highlight w:val="white"/>
          <w:u w:val="single"/>
        </w:rPr>
        <w:t xml:space="preserve">Kular_AY@tv.rosseti-sib.ru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на ад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рес электронной почты Поставщика: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_______ 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ектронного адреса: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________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на адрес электронной почты Покупателя </w:t>
      </w:r>
      <w:hyperlink r:id="rId21" w:tooltip="mailto:EvtifevaDV@tv.rosseti-sib.ru" w:history="1">
        <w:r>
          <w:rPr>
            <w:rStyle w:val="1083"/>
            <w:rFonts w:ascii="Tinos" w:hAnsi="Tinos" w:eastAsia="Tinos" w:cs="Tinos"/>
            <w:sz w:val="22"/>
            <w:szCs w:val="22"/>
            <w:highlight w:val="white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  <w:highlight w:val="white"/>
        </w:rPr>
        <w:t xml:space="preserve">, </w:t>
      </w:r>
      <w:hyperlink r:id="rId22" w:tooltip="mailto:BaturinNV@tv.rosseti-sib.ru" w:history="1">
        <w:r>
          <w:rPr>
            <w:rStyle w:val="1083"/>
            <w:rFonts w:ascii="Tinos" w:hAnsi="Tinos" w:eastAsia="Tinos" w:cs="Tinos"/>
            <w:sz w:val="22"/>
            <w:szCs w:val="22"/>
            <w:highlight w:val="white"/>
          </w:rPr>
          <w:t xml:space="preserve">Baturin_NV@tv.rosseti-sib.ru</w:t>
        </w:r>
      </w:hyperlink>
      <w:r>
        <w:rPr>
          <w:rFonts w:ascii="Tinos" w:hAnsi="Tinos" w:eastAsia="Tinos" w:cs="Tinos"/>
          <w:sz w:val="22"/>
          <w:szCs w:val="22"/>
          <w:highlight w:val="white"/>
        </w:rPr>
        <w:t xml:space="preserve">, </w:t>
      </w:r>
      <w:r>
        <w:rPr>
          <w:rFonts w:ascii="Tinos" w:hAnsi="Tinos" w:eastAsia="Tinos" w:cs="Tinos"/>
          <w:color w:val="0000ff"/>
          <w:sz w:val="22"/>
          <w:szCs w:val="22"/>
          <w:highlight w:val="white"/>
          <w:u w:val="single"/>
        </w:rPr>
        <w:t xml:space="preserve">Kular_AY@tv.rosseti-sib.ru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4"/>
        <w:ind w:firstLine="0"/>
        <w:spacing w:before="0" w:after="0" w:line="17" w:lineRule="atLeast"/>
        <w:widowControl w:val="off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4"/>
        <w:numPr>
          <w:ilvl w:val="1"/>
          <w:numId w:val="17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Вопросы, не урегулированные настоящим Договором, регламентируются нормами законодательства Российской Федерации.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4"/>
        <w:numPr>
          <w:ilvl w:val="1"/>
          <w:numId w:val="17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Все указанные в настоящем Договоре приложения являются его неотъемлемой частью.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4"/>
        <w:numPr>
          <w:ilvl w:val="1"/>
          <w:numId w:val="17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4"/>
        <w:numPr>
          <w:ilvl w:val="1"/>
          <w:numId w:val="17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прекращения деятельности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АО «Россети Сибирь Тываэнерго»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в результате реорганизации путем присоединения к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П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АО «Россети Сибирь»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, все права обязанности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АО «Россети Сибирь Тываэнерго»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по настоящему Договору переходят в порядке правопреемства в полном объеме к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П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АО «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Росс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ети Сибирь»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numPr>
          <w:ilvl w:val="0"/>
          <w:numId w:val="17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b/>
          <w:sz w:val="22"/>
          <w:szCs w:val="22"/>
          <w:highlight w:val="white"/>
        </w:rPr>
        <w:t xml:space="preserve">Приложения к Д</w:t>
      </w:r>
      <w:r>
        <w:rPr>
          <w:rFonts w:ascii="Tinos" w:hAnsi="Tinos" w:eastAsia="Tinos" w:cs="Tinos"/>
          <w:b/>
          <w:sz w:val="22"/>
          <w:szCs w:val="22"/>
          <w:highlight w:val="white"/>
        </w:rPr>
        <w:t xml:space="preserve">оговору</w:t>
      </w:r>
      <w:r>
        <w:rPr>
          <w:rFonts w:ascii="Tinos" w:hAnsi="Tinos" w:cs="Tinos"/>
          <w:b/>
          <w:sz w:val="22"/>
          <w:szCs w:val="22"/>
          <w:highlight w:val="white"/>
        </w:rPr>
      </w:r>
      <w:r>
        <w:rPr>
          <w:rFonts w:ascii="Tinos" w:hAnsi="Tinos" w:cs="Tinos"/>
          <w:b/>
          <w:sz w:val="22"/>
          <w:szCs w:val="22"/>
          <w:highlight w:val="white"/>
        </w:rPr>
      </w:r>
    </w:p>
    <w:p>
      <w:pPr>
        <w:numPr>
          <w:ilvl w:val="1"/>
          <w:numId w:val="17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Приложение №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1.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Спецификация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numPr>
          <w:ilvl w:val="1"/>
          <w:numId w:val="17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Приложение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№ 2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Информация о собственниках контрагента (включая конечных бенефициаров)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b/>
          <w:sz w:val="22"/>
          <w:szCs w:val="22"/>
          <w:highlight w:val="white"/>
        </w:rPr>
      </w:r>
      <w:r>
        <w:rPr>
          <w:rFonts w:ascii="Tinos" w:hAnsi="Tinos" w:cs="Tinos"/>
          <w:b/>
          <w:sz w:val="22"/>
          <w:szCs w:val="22"/>
          <w:highlight w:val="white"/>
        </w:rPr>
      </w:r>
    </w:p>
    <w:p>
      <w:pPr>
        <w:numPr>
          <w:ilvl w:val="1"/>
          <w:numId w:val="17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Приложение №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3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 Согласие на обработку персональных данных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(форма)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numPr>
          <w:ilvl w:val="1"/>
          <w:numId w:val="17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Приложение № 4.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Технические характеристики и требования.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numPr>
          <w:ilvl w:val="1"/>
          <w:numId w:val="17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Приложение № 5.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Условия предоставления обеспечения исполнения обязательств при аномально низкой цене.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ind w:right="38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b/>
          <w:sz w:val="22"/>
          <w:szCs w:val="22"/>
          <w:highlight w:val="white"/>
        </w:rPr>
        <w:t xml:space="preserve">1</w:t>
      </w:r>
      <w:r>
        <w:rPr>
          <w:rFonts w:ascii="Tinos" w:hAnsi="Tinos" w:eastAsia="Tinos" w:cs="Tinos"/>
          <w:b/>
          <w:sz w:val="22"/>
          <w:szCs w:val="22"/>
          <w:highlight w:val="white"/>
        </w:rPr>
        <w:t xml:space="preserve">6. </w:t>
      </w:r>
      <w:r>
        <w:rPr>
          <w:rFonts w:ascii="Tinos" w:hAnsi="Tinos" w:eastAsia="Tinos" w:cs="Tinos"/>
          <w:b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b/>
          <w:sz w:val="22"/>
          <w:szCs w:val="22"/>
          <w:highlight w:val="white"/>
        </w:rPr>
        <w:t xml:space="preserve">Юридические адреса и реквизиты сторон</w:t>
      </w:r>
      <w:r>
        <w:rPr>
          <w:rFonts w:ascii="Tinos" w:hAnsi="Tinos" w:cs="Tinos"/>
          <w:b/>
          <w:sz w:val="22"/>
          <w:szCs w:val="22"/>
          <w:highlight w:val="white"/>
        </w:rPr>
      </w:r>
      <w:r>
        <w:rPr>
          <w:rFonts w:ascii="Tinos" w:hAnsi="Tinos" w:cs="Tinos"/>
          <w:b/>
          <w:sz w:val="22"/>
          <w:szCs w:val="22"/>
          <w:highlight w:val="white"/>
        </w:rPr>
      </w:r>
    </w:p>
    <w:tbl>
      <w:tblPr>
        <w:tblW w:w="10204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243"/>
        <w:gridCol w:w="4961"/>
      </w:tblGrid>
      <w:tr>
        <w:tblPrEx/>
        <w:trPr>
          <w:trHeight w:val="411"/>
        </w:trPr>
        <w:tc>
          <w:tcPr>
            <w:tcW w:w="5243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  <w:highlight w:val="white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bCs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bCs/>
                <w:sz w:val="22"/>
                <w:szCs w:val="22"/>
                <w:highlight w:val="white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  <w:highlight w:val="white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  <w:highlight w:val="white"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  <w:highlight w:val="white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  <w:highlight w:val="white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  <w:t xml:space="preserve">АО «Россети Сибирь Тываэнерго»</w:t>
            </w:r>
            <w:r>
              <w:rPr>
                <w:rFonts w:ascii="Tinos" w:hAnsi="Tinos" w:cs="Tinos"/>
                <w:bCs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bCs/>
                <w:sz w:val="22"/>
                <w:szCs w:val="22"/>
                <w:highlight w:val="white"/>
              </w:rPr>
            </w:r>
          </w:p>
          <w:p>
            <w:pPr>
              <w:pStyle w:val="1084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  <w:t xml:space="preserve">Адрес юридический: </w:t>
            </w: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  <w:t xml:space="preserve">667001, Республика </w:t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</w:p>
          <w:p>
            <w:pPr>
              <w:pStyle w:val="1084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  <w:t xml:space="preserve">Тыва, г. Кызыл, ул. Рабочая,</w:t>
            </w: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  <w:t xml:space="preserve">4 </w:t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</w:p>
          <w:p>
            <w:pPr>
              <w:pStyle w:val="1084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  <w:t xml:space="preserve">Адрес почтовый</w:t>
            </w:r>
            <w:r>
              <w:rPr>
                <w:rFonts w:ascii="Tinos" w:hAnsi="Tinos" w:eastAsia="Tinos" w:cs="Tinos"/>
                <w:b/>
                <w:sz w:val="22"/>
                <w:szCs w:val="22"/>
                <w:highlight w:val="white"/>
              </w:rPr>
              <w:t xml:space="preserve">: </w:t>
            </w: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  <w:t xml:space="preserve">667001, Республика Тыва, </w:t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</w:p>
          <w:p>
            <w:pPr>
              <w:pStyle w:val="1084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  <w:t xml:space="preserve">г. Кызыл, ул. Рабочая,</w:t>
            </w: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  <w:t xml:space="preserve">4 </w:t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</w:p>
          <w:p>
            <w:pPr>
              <w:pStyle w:val="1084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  <w:t xml:space="preserve">ИНН/КПП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  <w:highlight w:val="white"/>
              </w:rPr>
              <w:t xml:space="preserve">1701029232 /170101001</w:t>
            </w:r>
            <w:r>
              <w:rPr>
                <w:rFonts w:ascii="Tinos" w:hAnsi="Tinos" w:cs="Tinos"/>
                <w:color w:val="000000"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  <w:highlight w:val="white"/>
              </w:rPr>
            </w:r>
          </w:p>
          <w:p>
            <w:pPr>
              <w:pStyle w:val="1084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  <w:t xml:space="preserve">Р/с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  <w:highlight w:val="white"/>
              </w:rPr>
              <w:t xml:space="preserve">40702810865000001852</w:t>
            </w:r>
            <w:r>
              <w:rPr>
                <w:rFonts w:ascii="Tinos" w:hAnsi="Tinos" w:cs="Tinos"/>
                <w:color w:val="000000"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  <w:highlight w:val="white"/>
              </w:rPr>
            </w:r>
          </w:p>
          <w:p>
            <w:pPr>
              <w:pStyle w:val="1084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  <w:t xml:space="preserve">в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  <w:highlight w:val="white"/>
              </w:rPr>
              <w:t xml:space="preserve">КРАСНОЯРСКОЕ ОТДЕЛЕНИЕ №8646 </w:t>
            </w:r>
            <w:r>
              <w:rPr>
                <w:rFonts w:ascii="Tinos" w:hAnsi="Tinos" w:cs="Tinos"/>
                <w:color w:val="000000"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  <w:highlight w:val="white"/>
              </w:rPr>
            </w:r>
          </w:p>
          <w:p>
            <w:pPr>
              <w:pStyle w:val="1084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hAnsi="Tinos" w:eastAsia="Tinos" w:cs="Tinos"/>
                <w:color w:val="000000"/>
                <w:sz w:val="22"/>
                <w:szCs w:val="22"/>
                <w:highlight w:val="white"/>
              </w:rPr>
              <w:t xml:space="preserve">ПАО СБЕРБАНК г. КРАСНОЯРСК</w:t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</w:p>
          <w:p>
            <w:pPr>
              <w:pStyle w:val="1084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  <w:t xml:space="preserve">К/с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  <w:highlight w:val="white"/>
              </w:rPr>
              <w:t xml:space="preserve">30101810800000000627</w:t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</w:p>
          <w:p>
            <w:pPr>
              <w:pStyle w:val="1084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  <w:t xml:space="preserve">БИК</w:t>
            </w: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  <w:highlight w:val="white"/>
              </w:rPr>
              <w:t xml:space="preserve">040407627</w:t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  <w:highlight w:val="white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  <w:t xml:space="preserve">ОГРН 1021700509566</w:t>
            </w:r>
            <w:r>
              <w:rPr>
                <w:rFonts w:ascii="Tinos" w:hAnsi="Tinos" w:cs="Tinos"/>
                <w:bCs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bCs/>
                <w:sz w:val="22"/>
                <w:szCs w:val="22"/>
                <w:highlight w:val="white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  <w:highlight w:val="white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  <w:highlight w:val="white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  <w:t xml:space="preserve">_____________________</w:t>
            </w: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  <w:t xml:space="preserve">/</w:t>
            </w: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  <w:t xml:space="preserve"> А.И. Таранков </w:t>
            </w: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  <w:t xml:space="preserve">/</w:t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</w:p>
        </w:tc>
        <w:tc>
          <w:tcPr>
            <w:tcW w:w="4961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  <w:highlight w:val="white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bCs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bCs/>
                <w:sz w:val="22"/>
                <w:szCs w:val="22"/>
                <w:highlight w:val="white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  <w:highlight w:val="white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  <w:highlight w:val="white"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  <w:highlight w:val="white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  <w:t xml:space="preserve">Адрес юридический:</w:t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  <w:t xml:space="preserve">Адрес почтовый:</w:t>
            </w: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  <w:t xml:space="preserve">ИНН</w:t>
            </w: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  <w:t xml:space="preserve">/КПП</w:t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  <w:t xml:space="preserve">Р/с </w:t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  <w:t xml:space="preserve">К/с</w:t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  <w:t xml:space="preserve">БИК</w:t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  <w:t xml:space="preserve">ОГРН</w:t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  <w:highlight w:val="white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  <w:highlight w:val="white"/>
              </w:rPr>
              <w:t xml:space="preserve">ОКПО</w:t>
            </w:r>
            <w:r>
              <w:rPr>
                <w:rFonts w:ascii="Tinos" w:hAnsi="Tinos" w:cs="Tinos"/>
                <w:bCs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bCs/>
                <w:sz w:val="22"/>
                <w:szCs w:val="22"/>
                <w:highlight w:val="white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  <w:highlight w:val="white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bCs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bCs/>
                <w:sz w:val="22"/>
                <w:szCs w:val="22"/>
                <w:highlight w:val="white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  <w:highlight w:val="white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bCs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bCs/>
                <w:sz w:val="22"/>
                <w:szCs w:val="22"/>
                <w:highlight w:val="white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  <w:highlight w:val="white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bCs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bCs/>
                <w:sz w:val="22"/>
                <w:szCs w:val="22"/>
                <w:highlight w:val="white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  <w:highlight w:val="white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bCs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bCs/>
                <w:sz w:val="22"/>
                <w:szCs w:val="22"/>
                <w:highlight w:val="white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  <w:highlight w:val="white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  <w:highlight w:val="white"/>
              </w:rPr>
              <w:t xml:space="preserve">_____</w:t>
            </w:r>
            <w:r>
              <w:rPr>
                <w:rFonts w:ascii="Tinos" w:hAnsi="Tinos" w:eastAsia="Tinos" w:cs="Tinos"/>
                <w:bCs/>
                <w:sz w:val="22"/>
                <w:szCs w:val="22"/>
                <w:highlight w:val="white"/>
              </w:rPr>
              <w:t xml:space="preserve">_</w:t>
            </w:r>
            <w:r>
              <w:rPr>
                <w:rFonts w:ascii="Tinos" w:hAnsi="Tinos" w:eastAsia="Tinos" w:cs="Tinos"/>
                <w:bCs/>
                <w:sz w:val="22"/>
                <w:szCs w:val="22"/>
                <w:highlight w:val="white"/>
              </w:rPr>
              <w:t xml:space="preserve">_____</w:t>
            </w:r>
            <w:r>
              <w:rPr>
                <w:rFonts w:ascii="Tinos" w:hAnsi="Tinos" w:eastAsia="Tinos" w:cs="Tinos"/>
                <w:bCs/>
                <w:sz w:val="22"/>
                <w:szCs w:val="22"/>
                <w:highlight w:val="white"/>
              </w:rPr>
              <w:t xml:space="preserve">_</w:t>
            </w:r>
            <w:r>
              <w:rPr>
                <w:rFonts w:ascii="Tinos" w:hAnsi="Tinos" w:eastAsia="Tinos" w:cs="Tinos"/>
                <w:bCs/>
                <w:sz w:val="22"/>
                <w:szCs w:val="22"/>
                <w:highlight w:val="white"/>
              </w:rPr>
              <w:t xml:space="preserve">_</w:t>
            </w:r>
            <w:r>
              <w:rPr>
                <w:rFonts w:ascii="Tinos" w:hAnsi="Tinos" w:eastAsia="Tinos" w:cs="Tinos"/>
                <w:bCs/>
                <w:sz w:val="22"/>
                <w:szCs w:val="22"/>
                <w:highlight w:val="white"/>
              </w:rPr>
              <w:t xml:space="preserve">__</w:t>
            </w:r>
            <w:r>
              <w:rPr>
                <w:rFonts w:ascii="Tinos" w:hAnsi="Tinos" w:eastAsia="Tinos" w:cs="Tinos"/>
                <w:bCs/>
                <w:sz w:val="22"/>
                <w:szCs w:val="22"/>
                <w:highlight w:val="white"/>
              </w:rPr>
              <w:t xml:space="preserve">______</w:t>
            </w:r>
            <w:r>
              <w:rPr>
                <w:rFonts w:ascii="Tinos" w:hAnsi="Tinos" w:eastAsia="Tinos" w:cs="Tinos"/>
                <w:bCs/>
                <w:sz w:val="22"/>
                <w:szCs w:val="22"/>
                <w:highlight w:val="white"/>
              </w:rPr>
              <w:t xml:space="preserve">/</w:t>
            </w:r>
            <w:r>
              <w:rPr>
                <w:rFonts w:ascii="Tinos" w:hAnsi="Tinos" w:eastAsia="Tinos" w:cs="Tinos"/>
                <w:bCs/>
                <w:sz w:val="22"/>
                <w:szCs w:val="22"/>
                <w:highlight w:val="white"/>
              </w:rPr>
              <w:t xml:space="preserve">  </w:t>
            </w:r>
            <w:r>
              <w:rPr>
                <w:rFonts w:ascii="Tinos" w:hAnsi="Tinos" w:eastAsia="Tinos" w:cs="Tinos"/>
                <w:bCs/>
                <w:sz w:val="22"/>
                <w:szCs w:val="22"/>
                <w:highlight w:val="white"/>
              </w:rPr>
              <w:t xml:space="preserve">/</w:t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202"/>
        </w:trPr>
        <w:tc>
          <w:tcPr>
            <w:tcW w:w="5243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  <w:highlight w:val="white"/>
              </w:rPr>
              <w:suppressLineNumbers/>
            </w:pPr>
            <w:r>
              <w:rPr>
                <w:rFonts w:ascii="Tinos" w:hAnsi="Tinos" w:eastAsia="Tinos" w:cs="Tinos"/>
                <w:b/>
                <w:sz w:val="22"/>
                <w:szCs w:val="22"/>
                <w:highlight w:val="white"/>
              </w:rPr>
              <w:t xml:space="preserve">М.П.</w:t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</w:p>
        </w:tc>
        <w:tc>
          <w:tcPr>
            <w:tcW w:w="4961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  <w:highlight w:val="white"/>
              </w:rPr>
              <w:suppressLineNumbers/>
            </w:pPr>
            <w:r>
              <w:rPr>
                <w:rFonts w:ascii="Tinos" w:hAnsi="Tinos" w:eastAsia="Tinos" w:cs="Tinos"/>
                <w:b/>
                <w:sz w:val="22"/>
                <w:szCs w:val="22"/>
                <w:highlight w:val="white"/>
              </w:rPr>
              <w:t xml:space="preserve">М.П.</w:t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679"/>
        </w:trPr>
        <w:tc>
          <w:tcPr>
            <w:tcW w:w="5243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  <w:highlight w:val="white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  <w:highlight w:val="white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  <w:t xml:space="preserve">«_____»</w:t>
            </w: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  <w:t xml:space="preserve">___________</w:t>
            </w: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  <w:t xml:space="preserve">__</w:t>
            </w: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  <w:t xml:space="preserve">20___г.</w:t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</w:p>
        </w:tc>
        <w:tc>
          <w:tcPr>
            <w:tcW w:w="4961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  <w:highlight w:val="white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  <w:highlight w:val="white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  <w:t xml:space="preserve">«____</w:t>
            </w: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  <w:t xml:space="preserve">_»</w:t>
            </w: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  <w:t xml:space="preserve">_</w:t>
            </w: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  <w:t xml:space="preserve">____________</w:t>
            </w: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  <w:t xml:space="preserve">20___г.</w:t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  <w:highlight w:val="white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  <w:r>
              <w:rPr>
                <w:rFonts w:ascii="Tinos" w:hAnsi="Tinos" w:cs="Tinos"/>
                <w:sz w:val="22"/>
                <w:szCs w:val="22"/>
                <w:highlight w:val="white"/>
              </w:rPr>
            </w:r>
          </w:p>
        </w:tc>
      </w:tr>
    </w:tbl>
    <w:p>
      <w:pPr>
        <w:pStyle w:val="1076"/>
        <w:numPr>
          <w:ilvl w:val="0"/>
          <w:numId w:val="0"/>
        </w:numPr>
        <w:keepNext w:val="0"/>
        <w:spacing w:before="0" w:after="0"/>
        <w:rPr>
          <w:b w:val="0"/>
          <w:caps w:val="0"/>
          <w:sz w:val="22"/>
          <w:szCs w:val="22"/>
        </w:rPr>
        <w:sectPr>
          <w:footerReference w:type="default" r:id="rId9"/>
          <w:footnotePr/>
          <w:endnotePr/>
          <w:type w:val="nextPage"/>
          <w:pgSz w:w="11906" w:h="16838" w:orient="portrait"/>
          <w:pgMar w:top="709" w:right="851" w:bottom="567" w:left="851" w:header="709" w:footer="709" w:gutter="0"/>
          <w:cols w:num="1" w:sep="0" w:space="708" w:equalWidth="1"/>
          <w:docGrid w:linePitch="360"/>
        </w:sectPr>
      </w:pPr>
      <w:r>
        <w:rPr>
          <w:b w:val="0"/>
          <w:caps w:val="0"/>
          <w:sz w:val="22"/>
          <w:szCs w:val="22"/>
        </w:rPr>
      </w:r>
      <w:r>
        <w:rPr>
          <w:b w:val="0"/>
          <w:caps w:val="0"/>
          <w:sz w:val="22"/>
          <w:szCs w:val="22"/>
        </w:rPr>
      </w:r>
      <w:r>
        <w:rPr>
          <w:b w:val="0"/>
          <w:caps w:val="0"/>
          <w:sz w:val="22"/>
          <w:szCs w:val="22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ind w:left="6237"/>
        <w:spacing w:after="0" w:afterAutospacing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           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ind w:left="6237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Приложение № 1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к Д</w:t>
      </w:r>
      <w:r>
        <w:rPr>
          <w:rFonts w:ascii="Tinos" w:hAnsi="Tinos" w:eastAsia="Tinos" w:cs="Tinos"/>
          <w:sz w:val="20"/>
          <w:szCs w:val="20"/>
        </w:rPr>
        <w:t xml:space="preserve">оговору №_______</w:t>
      </w:r>
      <w:r>
        <w:rPr>
          <w:rFonts w:ascii="Tinos" w:hAnsi="Tinos" w:eastAsia="Tinos" w:cs="Tinos"/>
          <w:sz w:val="20"/>
          <w:szCs w:val="20"/>
        </w:rPr>
        <w:t xml:space="preserve">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76"/>
        <w:numPr>
          <w:ilvl w:val="0"/>
          <w:numId w:val="0"/>
        </w:numPr>
        <w:jc w:val="right"/>
        <w:keepNext w:val="0"/>
        <w:spacing w:before="0" w:after="0" w:afterAutospacing="0" w:line="17" w:lineRule="atLeast"/>
        <w:rPr>
          <w:rFonts w:ascii="Tinos" w:hAnsi="Tinos" w:cs="Tinos"/>
          <w:b w:val="0"/>
          <w:sz w:val="20"/>
          <w:szCs w:val="20"/>
        </w:rPr>
      </w:pPr>
      <w:r>
        <w:rPr>
          <w:rFonts w:ascii="Tinos" w:hAnsi="Tinos" w:eastAsia="Tinos" w:cs="Tinos"/>
          <w:b w:val="0"/>
          <w:caps w:val="0"/>
          <w:sz w:val="20"/>
          <w:szCs w:val="20"/>
        </w:rPr>
        <w:t xml:space="preserve">                  </w:t>
      </w:r>
      <w:r>
        <w:rPr>
          <w:rFonts w:ascii="Tinos" w:hAnsi="Tinos" w:eastAsia="Tinos" w:cs="Tinos"/>
          <w:b w:val="0"/>
          <w:caps w:val="0"/>
          <w:sz w:val="20"/>
          <w:szCs w:val="20"/>
        </w:rPr>
        <w:t xml:space="preserve">от "____" __________ 20___г</w:t>
      </w:r>
      <w:r>
        <w:rPr>
          <w:rFonts w:ascii="Tinos" w:hAnsi="Tinos" w:cs="Tinos"/>
          <w:b w:val="0"/>
          <w:sz w:val="20"/>
          <w:szCs w:val="20"/>
        </w:rPr>
      </w:r>
      <w:r>
        <w:rPr>
          <w:rFonts w:ascii="Tinos" w:hAnsi="Tinos" w:cs="Tinos"/>
          <w:b w:val="0"/>
          <w:sz w:val="20"/>
          <w:szCs w:val="20"/>
        </w:rPr>
      </w:r>
    </w:p>
    <w:p>
      <w:pPr>
        <w:jc w:val="left"/>
        <w:spacing w:after="0" w:afterAutospacing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jc w:val="center"/>
        <w:spacing w:after="0" w:afterAutospacing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СПЕЦИФИКАЦИЯ №______</w:t>
      </w:r>
      <w:r>
        <w:rPr>
          <w:rFonts w:ascii="Tinos" w:hAnsi="Tinos" w:eastAsia="Tinos" w:cs="Tinos"/>
          <w:bCs/>
          <w:sz w:val="22"/>
          <w:szCs w:val="22"/>
        </w:rPr>
        <w:t xml:space="preserve">от _______20__г.</w:t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jc w:val="center"/>
        <w:spacing w:after="0" w:afterAutospacing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к Договору поставки № _____________от_______20__г.</w:t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tbl>
      <w:tblPr>
        <w:tblpPr w:horzAnchor="page" w:tblpX="850" w:vertAnchor="page" w:tblpY="3116" w:leftFromText="180" w:topFromText="0" w:rightFromText="180" w:bottomFromText="0"/>
        <w:tblW w:w="103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276"/>
        <w:gridCol w:w="2693"/>
        <w:gridCol w:w="1417"/>
        <w:gridCol w:w="1133"/>
        <w:gridCol w:w="567"/>
        <w:gridCol w:w="709"/>
        <w:gridCol w:w="1"/>
        <w:gridCol w:w="991"/>
        <w:gridCol w:w="1134"/>
      </w:tblGrid>
      <w:tr>
        <w:tblPrEx/>
        <w:trPr/>
        <w:tc>
          <w:tcPr>
            <w:tcW w:w="425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№ п/п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Номенклатурный №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Наименование, характеристика (комплектация) ТМЦ и оборудования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Страна происхождения товара</w:t>
            </w: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, и </w:t>
            </w: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производитель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Номер реестровой записи (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при наличии</w:t>
            </w:r>
            <w:r>
              <w:rPr>
                <w:rFonts w:ascii="Tinos" w:hAnsi="Tinos" w:eastAsia="Tinos" w:cs="Tinos"/>
                <w:sz w:val="20"/>
                <w:szCs w:val="20"/>
              </w:rPr>
              <w:t xml:space="preserve">)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Ед.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br/>
              <w:t xml:space="preserve">изм.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Кол-во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gridSpan w:val="2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Цена,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без НДС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Сумма,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без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>
          <w:trHeight w:val="516"/>
        </w:trPr>
        <w:tc>
          <w:tcPr>
            <w:tcW w:w="425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9544400354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ЗБ Не влезай 200х300 мет СТО34.01-24-001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шт.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51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991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539"/>
        </w:trPr>
        <w:tc>
          <w:tcPr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9544400362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Знак инф д/ВЛ ПС 300х400мм металл 501-р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шт.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55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68"/>
        </w:trPr>
        <w:tc>
          <w:tcPr>
            <w:gridSpan w:val="9"/>
            <w:tcW w:w="9212" w:type="dxa"/>
            <w:vAlign w:val="center"/>
            <w:textDirection w:val="lrTb"/>
            <w:noWrap w:val="false"/>
          </w:tcPr>
          <w:p>
            <w:pPr>
              <w:jc w:val="right"/>
              <w:spacing w:after="0" w:afterAutospacing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Итого общая сумма, 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>
          <w:trHeight w:val="273"/>
        </w:trPr>
        <w:tc>
          <w:tcPr>
            <w:gridSpan w:val="9"/>
            <w:tcW w:w="9212" w:type="dxa"/>
            <w:vAlign w:val="center"/>
            <w:textDirection w:val="lrTb"/>
            <w:noWrap w:val="false"/>
          </w:tcPr>
          <w:p>
            <w:pPr>
              <w:jc w:val="right"/>
              <w:spacing w:after="0" w:afterAutospacing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Сумма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gridSpan w:val="9"/>
            <w:tcW w:w="9212" w:type="dxa"/>
            <w:vAlign w:val="center"/>
            <w:textDirection w:val="lrTb"/>
            <w:noWrap w:val="false"/>
          </w:tcPr>
          <w:p>
            <w:pPr>
              <w:jc w:val="right"/>
              <w:spacing w:after="0" w:afterAutospacing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Общая сумма с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pStyle w:val="1074"/>
        <w:ind w:firstLine="0"/>
        <w:jc w:val="left"/>
        <w:spacing w:before="0" w:after="0" w:afterAutospacing="0" w:line="17" w:lineRule="atLeast"/>
        <w:widowControl w:val="off"/>
        <w:tabs>
          <w:tab w:val="left" w:pos="10435" w:leader="none"/>
        </w:tabs>
        <w:rPr>
          <w:rFonts w:ascii="Tinos" w:hAnsi="Tinos" w:cs="Tinos"/>
          <w:b/>
          <w:bCs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cs="Tinos"/>
          <w:b/>
          <w:bCs/>
          <w:i/>
          <w:sz w:val="20"/>
          <w:szCs w:val="20"/>
        </w:rPr>
      </w:r>
      <w:r>
        <w:rPr>
          <w:rFonts w:ascii="Tinos" w:hAnsi="Tinos" w:cs="Tinos"/>
          <w:b/>
          <w:bCs/>
          <w:i/>
          <w:sz w:val="20"/>
          <w:szCs w:val="20"/>
        </w:rPr>
      </w:r>
    </w:p>
    <w:p>
      <w:pPr>
        <w:pStyle w:val="1074"/>
        <w:ind w:firstLine="0"/>
        <w:jc w:val="left"/>
        <w:spacing w:before="0" w:after="0" w:afterAutospacing="0" w:line="17" w:lineRule="atLeast"/>
        <w:widowControl w:val="off"/>
        <w:tabs>
          <w:tab w:val="left" w:pos="10435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74"/>
        <w:ind w:firstLine="0"/>
        <w:jc w:val="left"/>
        <w:spacing w:before="0" w:after="0" w:afterAutospacing="0" w:line="17" w:lineRule="atLeast"/>
        <w:widowControl w:val="off"/>
        <w:tabs>
          <w:tab w:val="left" w:pos="10435" w:leader="none"/>
        </w:tabs>
        <w:rPr>
          <w:rFonts w:ascii="Tinos" w:hAnsi="Tinos" w:eastAsia="Tinos" w:cs="Tinos"/>
          <w:sz w:val="22"/>
          <w:szCs w:val="22"/>
        </w:rPr>
      </w:pPr>
      <w:r>
        <w:rPr>
          <w:rFonts w:ascii="Tinos" w:hAnsi="Tinos" w:eastAsia="Tinos" w:cs="Tinos"/>
          <w:sz w:val="20"/>
          <w:szCs w:val="20"/>
        </w:rPr>
        <w:t xml:space="preserve">  </w:t>
      </w: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eastAsia="Tinos" w:cs="Tinos"/>
          <w:sz w:val="22"/>
          <w:szCs w:val="22"/>
        </w:rPr>
      </w:r>
    </w:p>
    <w:p>
      <w:pPr>
        <w:pStyle w:val="1074"/>
        <w:ind w:firstLine="0"/>
        <w:jc w:val="left"/>
        <w:spacing w:before="0" w:after="0" w:afterAutospacing="0" w:line="17" w:lineRule="atLeast"/>
        <w:widowControl w:val="off"/>
        <w:tabs>
          <w:tab w:val="left" w:pos="10435" w:leader="none"/>
        </w:tabs>
        <w:rPr>
          <w:rFonts w:ascii="Tinos" w:hAnsi="Tinos" w:cs="Tinos"/>
          <w:sz w:val="22"/>
          <w:szCs w:val="22"/>
          <w:highlight w:val="none"/>
        </w:rPr>
      </w:pPr>
      <w:r>
        <w:rPr>
          <w:rFonts w:ascii="Tinos" w:hAnsi="Tinos" w:eastAsia="Tinos" w:cs="Tinos"/>
          <w:sz w:val="22"/>
          <w:szCs w:val="22"/>
        </w:rPr>
        <w:t xml:space="preserve">  Срок пост</w:t>
      </w:r>
      <w:r>
        <w:rPr>
          <w:rFonts w:ascii="Tinos" w:hAnsi="Tinos" w:eastAsia="Tinos" w:cs="Tinos"/>
          <w:sz w:val="22"/>
          <w:szCs w:val="22"/>
        </w:rPr>
        <w:t xml:space="preserve">авки: </w:t>
      </w:r>
      <w:r>
        <w:rPr>
          <w:rFonts w:ascii="Tinos" w:hAnsi="Tinos" w:eastAsia="Tinos" w:cs="Tinos"/>
          <w:sz w:val="22"/>
          <w:szCs w:val="22"/>
        </w:rPr>
        <w:t xml:space="preserve">в течение</w:t>
      </w:r>
      <w:r>
        <w:rPr>
          <w:rFonts w:ascii="Tinos" w:hAnsi="Tinos" w:eastAsia="Tinos" w:cs="Tinos"/>
          <w:sz w:val="22"/>
          <w:szCs w:val="22"/>
        </w:rPr>
        <w:t xml:space="preserve"> 30</w:t>
      </w:r>
      <w:r>
        <w:rPr>
          <w:rFonts w:ascii="Tinos" w:hAnsi="Tinos" w:eastAsia="Tinos" w:cs="Tinos"/>
          <w:sz w:val="22"/>
          <w:szCs w:val="22"/>
        </w:rPr>
        <w:t xml:space="preserve"> (тридцати)</w:t>
      </w:r>
      <w:r>
        <w:rPr>
          <w:rFonts w:ascii="Tinos" w:hAnsi="Tinos" w:eastAsia="Tinos" w:cs="Tinos"/>
          <w:sz w:val="22"/>
          <w:szCs w:val="22"/>
        </w:rPr>
        <w:t xml:space="preserve"> календарных дней с даты заключения Договора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  <w:highlight w:val="none"/>
        </w:rPr>
      </w:r>
      <w:r>
        <w:rPr>
          <w:rFonts w:ascii="Tinos" w:hAnsi="Tinos" w:cs="Tinos"/>
          <w:sz w:val="22"/>
          <w:szCs w:val="22"/>
          <w:highlight w:val="none"/>
        </w:rPr>
      </w:r>
    </w:p>
    <w:p>
      <w:pPr>
        <w:spacing w:after="0" w:afterAutospacing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 Способ поставки товара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- транспортом Поставщика</w:t>
      </w:r>
      <w:r>
        <w:rPr>
          <w:rFonts w:ascii="Tinos" w:hAnsi="Tinos" w:eastAsia="Tinos" w:cs="Tinos"/>
          <w:sz w:val="22"/>
          <w:szCs w:val="22"/>
        </w:rPr>
        <w:t xml:space="preserve">: </w:t>
      </w:r>
      <w:r>
        <w:rPr>
          <w:rFonts w:ascii="Tinos" w:hAnsi="Tinos" w:eastAsia="Tinos" w:cs="Tinos"/>
          <w:sz w:val="22"/>
          <w:szCs w:val="22"/>
        </w:rPr>
        <w:t xml:space="preserve">Центральный склад, г. Кызыл, ул. Колхозная 2Б</w:t>
      </w:r>
      <w:r>
        <w:rPr>
          <w:rFonts w:ascii="Tinos" w:hAnsi="Tinos" w:eastAsia="Tinos" w:cs="Tinos"/>
          <w:i/>
          <w:iCs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spacing w:after="0" w:afterAutospacing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 Транспортные расходы уч</w:t>
      </w:r>
      <w:r>
        <w:rPr>
          <w:rFonts w:ascii="Tinos" w:hAnsi="Tinos" w:eastAsia="Tinos" w:cs="Tinos"/>
          <w:sz w:val="22"/>
          <w:szCs w:val="22"/>
        </w:rPr>
        <w:t xml:space="preserve">тены в стоимости товара. </w:t>
      </w:r>
      <w:r>
        <w:rPr>
          <w:rFonts w:ascii="Tinos" w:hAnsi="Tinos" w:eastAsia="Tinos" w:cs="Tinos"/>
          <w:sz w:val="22"/>
          <w:szCs w:val="22"/>
        </w:rPr>
        <w:t xml:space="preserve">Стоимость тары учтена в стоимости товара.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spacing w:after="0" w:afterAutospacing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   </w:t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spacing w:after="0" w:afterAutospacing="0" w:line="17" w:lineRule="atLeast"/>
        <w:widowControl w:val="off"/>
        <w:rPr>
          <w:rFonts w:ascii="Tinos" w:hAnsi="Tinos" w:eastAsia="Tinos" w:cs="Tinos"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 </w:t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eastAsia="Tinos" w:cs="Tinos"/>
          <w:sz w:val="22"/>
          <w:szCs w:val="22"/>
        </w:rPr>
      </w:r>
    </w:p>
    <w:p>
      <w:pPr>
        <w:spacing w:after="0" w:afterAutospacing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ПОКУ</w:t>
      </w:r>
      <w:r>
        <w:rPr>
          <w:rFonts w:ascii="Tinos" w:hAnsi="Tinos" w:eastAsia="Tinos" w:cs="Tinos"/>
          <w:bCs/>
          <w:sz w:val="22"/>
          <w:szCs w:val="22"/>
        </w:rPr>
        <w:t xml:space="preserve">ПАТЕЛЬ                </w:t>
      </w:r>
      <w:r>
        <w:rPr>
          <w:rFonts w:ascii="Tinos" w:hAnsi="Tinos" w:eastAsia="Tinos" w:cs="Tinos"/>
          <w:bCs/>
          <w:sz w:val="22"/>
          <w:szCs w:val="22"/>
        </w:rPr>
        <w:tab/>
        <w:t xml:space="preserve">      </w:t>
      </w:r>
      <w:r>
        <w:rPr>
          <w:rFonts w:ascii="Tinos" w:hAnsi="Tinos" w:eastAsia="Tinos" w:cs="Tinos"/>
          <w:bCs/>
          <w:sz w:val="22"/>
          <w:szCs w:val="22"/>
        </w:rPr>
        <w:t xml:space="preserve">                           </w:t>
      </w:r>
      <w:r>
        <w:rPr>
          <w:rFonts w:ascii="Tinos" w:hAnsi="Tinos" w:eastAsia="Tinos" w:cs="Tinos"/>
          <w:bCs/>
          <w:sz w:val="22"/>
          <w:szCs w:val="22"/>
        </w:rPr>
        <w:t xml:space="preserve">          ПОСТАВЩИК</w:t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spacing w:after="0" w:afterAutospacing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spacing w:after="0" w:afterAutospacing="0" w:line="17" w:lineRule="atLeast"/>
        <w:widowControl w:val="off"/>
        <w:rPr>
          <w:rFonts w:ascii="Tinos" w:hAnsi="Tinos" w:eastAsia="Tinos" w:cs="Tinos"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eastAsia="Tinos" w:cs="Tinos"/>
          <w:sz w:val="22"/>
          <w:szCs w:val="22"/>
        </w:rPr>
      </w:r>
    </w:p>
    <w:p>
      <w:pPr>
        <w:spacing w:after="0" w:afterAutospacing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 _________</w:t>
      </w:r>
      <w:r>
        <w:rPr>
          <w:rFonts w:ascii="Tinos" w:hAnsi="Tinos" w:eastAsia="Tinos" w:cs="Tinos"/>
          <w:bCs/>
          <w:sz w:val="22"/>
          <w:szCs w:val="22"/>
        </w:rPr>
        <w:t xml:space="preserve">_</w:t>
      </w:r>
      <w:r>
        <w:rPr>
          <w:rFonts w:ascii="Tinos" w:hAnsi="Tinos" w:eastAsia="Tinos" w:cs="Tinos"/>
          <w:bCs/>
          <w:sz w:val="22"/>
          <w:szCs w:val="22"/>
        </w:rPr>
        <w:t xml:space="preserve">_______</w:t>
      </w:r>
      <w:r>
        <w:rPr>
          <w:rFonts w:ascii="Tinos" w:hAnsi="Tinos" w:eastAsia="Tinos" w:cs="Tinos"/>
          <w:bCs/>
          <w:sz w:val="22"/>
          <w:szCs w:val="22"/>
        </w:rPr>
        <w:t xml:space="preserve">____</w:t>
      </w:r>
      <w:r>
        <w:rPr>
          <w:rFonts w:ascii="Tinos" w:hAnsi="Tinos" w:eastAsia="Tinos" w:cs="Tinos"/>
          <w:bCs/>
          <w:sz w:val="22"/>
          <w:szCs w:val="22"/>
        </w:rPr>
        <w:t xml:space="preserve">/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А.И. Таранков</w:t>
      </w:r>
      <w:r>
        <w:rPr>
          <w:rFonts w:ascii="Tinos" w:hAnsi="Tinos" w:eastAsia="Tinos" w:cs="Tinos"/>
          <w:bCs/>
          <w:sz w:val="22"/>
          <w:szCs w:val="22"/>
        </w:rPr>
        <w:t xml:space="preserve"> </w:t>
      </w:r>
      <w:r>
        <w:rPr>
          <w:rFonts w:ascii="Tinos" w:hAnsi="Tinos" w:eastAsia="Tinos" w:cs="Tinos"/>
          <w:bCs/>
          <w:sz w:val="22"/>
          <w:szCs w:val="22"/>
        </w:rPr>
        <w:t xml:space="preserve">/</w:t>
      </w:r>
      <w:r>
        <w:rPr>
          <w:rFonts w:ascii="Tinos" w:hAnsi="Tinos" w:eastAsia="Tinos" w:cs="Tinos"/>
          <w:bCs/>
          <w:sz w:val="22"/>
          <w:szCs w:val="22"/>
        </w:rPr>
        <w:t xml:space="preserve">                   </w:t>
      </w:r>
      <w:r>
        <w:rPr>
          <w:rFonts w:ascii="Tinos" w:hAnsi="Tinos" w:eastAsia="Tinos" w:cs="Tinos"/>
          <w:bCs/>
          <w:sz w:val="22"/>
          <w:szCs w:val="22"/>
        </w:rPr>
        <w:t xml:space="preserve">    ___</w:t>
      </w:r>
      <w:r>
        <w:rPr>
          <w:rFonts w:ascii="Tinos" w:hAnsi="Tinos" w:eastAsia="Tinos" w:cs="Tinos"/>
          <w:bCs/>
          <w:sz w:val="22"/>
          <w:szCs w:val="22"/>
        </w:rPr>
        <w:t xml:space="preserve">______</w:t>
      </w:r>
      <w:r>
        <w:rPr>
          <w:rFonts w:ascii="Tinos" w:hAnsi="Tinos" w:eastAsia="Tinos" w:cs="Tinos"/>
          <w:bCs/>
          <w:sz w:val="22"/>
          <w:szCs w:val="22"/>
        </w:rPr>
        <w:t xml:space="preserve">__</w:t>
      </w:r>
      <w:r>
        <w:rPr>
          <w:rFonts w:ascii="Tinos" w:hAnsi="Tinos" w:eastAsia="Tinos" w:cs="Tinos"/>
          <w:bCs/>
          <w:sz w:val="22"/>
          <w:szCs w:val="22"/>
        </w:rPr>
        <w:t xml:space="preserve">_____</w:t>
      </w:r>
      <w:r>
        <w:rPr>
          <w:rFonts w:ascii="Tinos" w:hAnsi="Tinos" w:eastAsia="Tinos" w:cs="Tinos"/>
          <w:bCs/>
          <w:sz w:val="22"/>
          <w:szCs w:val="22"/>
        </w:rPr>
        <w:t xml:space="preserve">__</w:t>
      </w:r>
      <w:r>
        <w:rPr>
          <w:rFonts w:ascii="Tinos" w:hAnsi="Tinos" w:eastAsia="Tinos" w:cs="Tinos"/>
          <w:bCs/>
          <w:sz w:val="22"/>
          <w:szCs w:val="22"/>
        </w:rPr>
        <w:t xml:space="preserve">_</w:t>
      </w:r>
      <w:r>
        <w:rPr>
          <w:rFonts w:ascii="Tinos" w:hAnsi="Tinos" w:eastAsia="Tinos" w:cs="Tinos"/>
          <w:bCs/>
          <w:sz w:val="22"/>
          <w:szCs w:val="22"/>
        </w:rPr>
        <w:t xml:space="preserve">__</w:t>
      </w:r>
      <w:r>
        <w:rPr>
          <w:rFonts w:ascii="Tinos" w:hAnsi="Tinos" w:eastAsia="Tinos" w:cs="Tinos"/>
          <w:bCs/>
          <w:sz w:val="22"/>
          <w:szCs w:val="22"/>
        </w:rPr>
        <w:t xml:space="preserve">/</w:t>
      </w:r>
      <w:r>
        <w:rPr>
          <w:rFonts w:ascii="Tinos" w:hAnsi="Tinos" w:eastAsia="Tinos" w:cs="Tinos"/>
          <w:bCs/>
          <w:sz w:val="22"/>
          <w:szCs w:val="22"/>
        </w:rPr>
        <w:t xml:space="preserve"> </w:t>
      </w:r>
      <w:r>
        <w:rPr>
          <w:rFonts w:ascii="Tinos" w:hAnsi="Tinos" w:eastAsia="Tinos" w:cs="Tinos"/>
          <w:bCs/>
          <w:sz w:val="22"/>
          <w:szCs w:val="22"/>
        </w:rPr>
        <w:t xml:space="preserve">/</w:t>
      </w:r>
      <w:r>
        <w:rPr>
          <w:rFonts w:ascii="Tinos" w:hAnsi="Tinos" w:eastAsia="Tinos" w:cs="Tinos"/>
          <w:sz w:val="22"/>
          <w:szCs w:val="22"/>
        </w:rPr>
        <w:t xml:space="preserve"> 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spacing w:after="0" w:afterAutospacing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М.П.                                                                           </w:t>
      </w:r>
      <w:r>
        <w:rPr>
          <w:rFonts w:ascii="Tinos" w:hAnsi="Tinos" w:eastAsia="Tinos" w:cs="Tinos"/>
          <w:sz w:val="22"/>
          <w:szCs w:val="22"/>
        </w:rPr>
        <w:t xml:space="preserve">    </w:t>
      </w:r>
      <w:r>
        <w:rPr>
          <w:rFonts w:ascii="Tinos" w:hAnsi="Tinos" w:eastAsia="Tinos" w:cs="Tinos"/>
          <w:sz w:val="22"/>
          <w:szCs w:val="22"/>
        </w:rPr>
        <w:t xml:space="preserve">      М.П.  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6237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nos" w:hAnsi="Tinos" w:eastAsia="Tinos" w:cs="Tinos"/>
          <w:sz w:val="20"/>
          <w:szCs w:val="20"/>
        </w:rPr>
        <w:t xml:space="preserve">    </w:t>
      </w:r>
      <w:r>
        <w:rPr>
          <w:rFonts w:ascii="Tinos" w:hAnsi="Tinos" w:eastAsia="Tinos" w:cs="Tinos"/>
          <w:sz w:val="20"/>
          <w:szCs w:val="20"/>
        </w:rPr>
        <w:t xml:space="preserve"> 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</w:t>
      </w:r>
      <w:r>
        <w:rPr>
          <w:rFonts w:ascii="Tinos" w:hAnsi="Tinos" w:eastAsia="Tinos" w:cs="Tinos"/>
          <w:sz w:val="20"/>
          <w:szCs w:val="20"/>
        </w:rPr>
        <w:t xml:space="preserve">Приложе</w:t>
      </w:r>
      <w:r>
        <w:rPr>
          <w:rFonts w:ascii="Tinos" w:hAnsi="Tinos" w:eastAsia="Tinos" w:cs="Tinos"/>
          <w:sz w:val="20"/>
          <w:szCs w:val="20"/>
        </w:rPr>
        <w:t xml:space="preserve">ние № 2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                  </w:t>
      </w:r>
      <w:r>
        <w:rPr>
          <w:rFonts w:ascii="Tinos" w:hAnsi="Tinos" w:eastAsia="Tinos" w:cs="Tinos"/>
          <w:sz w:val="20"/>
          <w:szCs w:val="20"/>
        </w:rPr>
        <w:t xml:space="preserve">к Д</w:t>
      </w:r>
      <w:r>
        <w:rPr>
          <w:rFonts w:ascii="Tinos" w:hAnsi="Tinos" w:eastAsia="Tinos" w:cs="Tinos"/>
          <w:sz w:val="20"/>
          <w:szCs w:val="20"/>
        </w:rPr>
        <w:t xml:space="preserve">оговору №_______</w:t>
      </w:r>
      <w:r>
        <w:rPr>
          <w:rFonts w:ascii="Tinos" w:hAnsi="Tinos" w:eastAsia="Tinos" w:cs="Tinos"/>
          <w:sz w:val="20"/>
          <w:szCs w:val="20"/>
        </w:rPr>
        <w:t xml:space="preserve">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0"/>
        <w:jc w:val="right"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  <w:suppressLineNumbers/>
      </w:pPr>
      <w:r>
        <w:rPr>
          <w:rFonts w:ascii="Tinos" w:hAnsi="Tinos" w:eastAsia="Tinos" w:cs="Tinos"/>
          <w:sz w:val="20"/>
          <w:szCs w:val="20"/>
        </w:rPr>
        <w:t xml:space="preserve">             </w:t>
      </w:r>
      <w:r>
        <w:rPr>
          <w:rFonts w:ascii="Tinos" w:hAnsi="Tinos" w:eastAsia="Tinos" w:cs="Tinos"/>
          <w:sz w:val="20"/>
          <w:szCs w:val="20"/>
        </w:rPr>
        <w:t xml:space="preserve">от "____" __________ 20___г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contextualSpacing/>
        <w:ind w:left="60"/>
        <w:spacing w:after="0" w:afterAutospacing="0" w:line="17" w:lineRule="atLeast"/>
        <w:widowControl w:val="off"/>
        <w:rPr>
          <w:rFonts w:ascii="Tinos" w:hAnsi="Tinos" w:cs="Tinos"/>
          <w:b/>
          <w:caps/>
          <w:sz w:val="20"/>
          <w:szCs w:val="20"/>
        </w:rPr>
        <w:suppressLineNumbers/>
      </w:pPr>
      <w:r>
        <w:rPr>
          <w:rFonts w:ascii="Tinos" w:hAnsi="Tinos" w:eastAsia="Tinos" w:cs="Tinos"/>
          <w:sz w:val="20"/>
          <w:szCs w:val="20"/>
        </w:rPr>
      </w:r>
      <w:bookmarkStart w:id="1" w:name="_Toc359424111"/>
      <w:r>
        <w:rPr>
          <w:rFonts w:ascii="Tinos" w:hAnsi="Tinos" w:eastAsia="Tinos" w:cs="Tinos"/>
          <w:b/>
          <w:caps/>
          <w:sz w:val="20"/>
          <w:szCs w:val="20"/>
        </w:rPr>
        <w:t xml:space="preserve">СО 6.1401/0</w:t>
      </w:r>
      <w:bookmarkEnd w:id="1"/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</w:p>
    <w:p>
      <w:pPr>
        <w:ind w:left="60"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  <w:suppressLineNumbers/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0"/>
        <w:jc w:val="center"/>
        <w:keepLines/>
        <w:spacing w:after="0" w:afterAutospacing="0" w:line="17" w:lineRule="atLeast"/>
        <w:rPr>
          <w:rFonts w:ascii="Tinos" w:hAnsi="Tinos" w:cs="Tinos"/>
          <w:b/>
          <w:caps/>
          <w:sz w:val="22"/>
          <w:szCs w:val="22"/>
        </w:rPr>
      </w:pPr>
      <w:r>
        <w:rPr>
          <w:rFonts w:ascii="Tinos" w:hAnsi="Tinos" w:eastAsia="Tinos" w:cs="Tinos"/>
          <w:b/>
          <w:caps/>
          <w:sz w:val="22"/>
          <w:szCs w:val="22"/>
        </w:rPr>
        <w:t xml:space="preserve">Информация о собственниках контрагента (включая конечных бенефициаров)</w:t>
      </w:r>
      <w:r>
        <w:rPr>
          <w:rFonts w:ascii="Tinos" w:hAnsi="Tinos" w:cs="Tinos"/>
          <w:b/>
          <w:caps/>
          <w:sz w:val="22"/>
          <w:szCs w:val="22"/>
        </w:rPr>
      </w:r>
      <w:r>
        <w:rPr>
          <w:rFonts w:ascii="Tinos" w:hAnsi="Tinos" w:cs="Tinos"/>
          <w:b/>
          <w:caps/>
          <w:sz w:val="22"/>
          <w:szCs w:val="22"/>
        </w:rPr>
      </w:r>
    </w:p>
    <w:p>
      <w:pPr>
        <w:ind w:left="60"/>
        <w:jc w:val="center"/>
        <w:keepLines/>
        <w:spacing w:after="0" w:afterAutospacing="0" w:line="17" w:lineRule="atLeast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hAnsi="Tinos" w:eastAsia="Tinos" w:cs="Tinos"/>
          <w:b/>
          <w:caps/>
          <w:sz w:val="22"/>
          <w:szCs w:val="22"/>
        </w:rPr>
        <w:t xml:space="preserve">(ФОРМА ДОКУМЕНТА)</w:t>
      </w:r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</w:p>
    <w:tbl>
      <w:tblPr>
        <w:tblW w:w="9921" w:type="dxa"/>
        <w:tblInd w:w="-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7"/>
      </w:tblGrid>
      <w:tr>
        <w:tblPrEx/>
        <w:trPr>
          <w:trHeight w:val="278"/>
        </w:trPr>
        <w:tc>
          <w:tcPr>
            <w:gridSpan w:val="8"/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1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цепочке собственников, включая бенефициаров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(в том числе конечных)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50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№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ИНН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ОГРН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Наименование / ФИО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Адрес регистрации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Серия и номер документа, удостоверяющего личность (для физ.</w:t>
            </w:r>
            <w:r>
              <w:rPr>
                <w:rFonts w:ascii="Tinos" w:hAnsi="Tinos" w:eastAsia="Tinos" w:cs="Tinos"/>
                <w:sz w:val="20"/>
                <w:szCs w:val="20"/>
              </w:rPr>
              <w:t xml:space="preserve"> </w:t>
            </w:r>
            <w:r>
              <w:rPr>
                <w:rFonts w:ascii="Tinos" w:hAnsi="Tinos" w:eastAsia="Tinos" w:cs="Tinos"/>
                <w:sz w:val="20"/>
                <w:szCs w:val="20"/>
              </w:rPr>
              <w:t xml:space="preserve">лиц)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Руководитель/участник/акционер/бенефициар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09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8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  <w:highlight w:val="yellow"/>
              </w:rPr>
            </w:r>
            <w:r>
              <w:rPr>
                <w:rFonts w:ascii="Tinos" w:hAnsi="Tinos" w:cs="Tinos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</w:t>
      </w:r>
      <w:r>
        <w:rPr>
          <w:rFonts w:ascii="Tinos" w:hAnsi="Tinos" w:eastAsia="Tinos" w:cs="Tinos"/>
          <w:sz w:val="20"/>
          <w:szCs w:val="20"/>
        </w:rPr>
        <w:t xml:space="preserve">Приложе</w:t>
      </w:r>
      <w:r>
        <w:rPr>
          <w:rFonts w:ascii="Tinos" w:hAnsi="Tinos" w:eastAsia="Tinos" w:cs="Tinos"/>
          <w:sz w:val="20"/>
          <w:szCs w:val="20"/>
        </w:rPr>
        <w:t xml:space="preserve">ние № 3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                </w:t>
      </w:r>
      <w:r>
        <w:rPr>
          <w:rFonts w:ascii="Tinos" w:hAnsi="Tinos" w:eastAsia="Tinos" w:cs="Tinos"/>
          <w:sz w:val="20"/>
          <w:szCs w:val="20"/>
        </w:rPr>
        <w:t xml:space="preserve">к Д</w:t>
      </w:r>
      <w:r>
        <w:rPr>
          <w:rFonts w:ascii="Tinos" w:hAnsi="Tinos" w:eastAsia="Tinos" w:cs="Tinos"/>
          <w:sz w:val="20"/>
          <w:szCs w:val="20"/>
        </w:rPr>
        <w:t xml:space="preserve">оговору №_______</w:t>
      </w:r>
      <w:r>
        <w:rPr>
          <w:rFonts w:ascii="Tinos" w:hAnsi="Tinos" w:eastAsia="Tinos" w:cs="Tinos"/>
          <w:sz w:val="20"/>
          <w:szCs w:val="20"/>
        </w:rPr>
        <w:t xml:space="preserve">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hAnsi="Tinos" w:eastAsia="Tinos" w:cs="Tinos"/>
          <w:b/>
          <w:sz w:val="20"/>
          <w:szCs w:val="20"/>
        </w:rPr>
        <w:t xml:space="preserve">ФОРМА</w:t>
      </w:r>
      <w:r>
        <w:rPr>
          <w:rFonts w:ascii="Tinos" w:hAnsi="Tinos" w:eastAsia="Tinos" w:cs="Tinos"/>
          <w:sz w:val="20"/>
          <w:szCs w:val="20"/>
        </w:rPr>
        <w:t xml:space="preserve">                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от "____" __________ 20___</w:t>
      </w:r>
      <w:r>
        <w:rPr>
          <w:rFonts w:ascii="Tinos" w:hAnsi="Tinos" w:eastAsia="Tinos" w:cs="Tinos"/>
          <w:sz w:val="20"/>
          <w:szCs w:val="20"/>
        </w:rPr>
        <w:t xml:space="preserve">г.</w:t>
      </w:r>
      <w:r>
        <w:rPr>
          <w:rFonts w:ascii="Tinos" w:hAnsi="Tinos" w:cs="Tinos"/>
          <w:sz w:val="20"/>
          <w:szCs w:val="20"/>
          <w:highlight w:val="green"/>
        </w:rPr>
      </w:r>
      <w:r>
        <w:rPr>
          <w:rFonts w:ascii="Tinos" w:hAnsi="Tinos" w:cs="Tinos"/>
          <w:sz w:val="20"/>
          <w:szCs w:val="20"/>
          <w:highlight w:val="green"/>
        </w:rPr>
      </w:r>
    </w:p>
    <w:p>
      <w:pPr>
        <w:ind w:firstLine="709"/>
        <w:jc w:val="center"/>
        <w:keepNext/>
        <w:spacing w:after="0" w:afterAutospacing="0" w:line="17" w:lineRule="atLeast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  <w:r>
        <w:rPr>
          <w:rFonts w:ascii="Tinos" w:hAnsi="Tinos" w:eastAsia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</w:p>
    <w:p>
      <w:pPr>
        <w:ind w:firstLine="709"/>
        <w:jc w:val="center"/>
        <w:keepNext/>
        <w:spacing w:after="0" w:afterAutospacing="0" w:line="17" w:lineRule="atLeast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  <w:r>
        <w:rPr>
          <w:rFonts w:ascii="Tinos" w:hAnsi="Tinos" w:eastAsia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bookmarkStart w:id="2" w:name="_Ref276562987"/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СО 6.1461/0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b/>
          <w:bCs/>
          <w:smallCaps/>
          <w:sz w:val="20"/>
          <w:szCs w:val="20"/>
        </w:rPr>
      </w:pPr>
      <w:r>
        <w:rPr>
          <w:rFonts w:ascii="Tinos" w:hAnsi="Tinos" w:eastAsia="Tinos" w:cs="Tinos"/>
          <w:b/>
          <w:bCs/>
          <w:smallCaps/>
          <w:sz w:val="20"/>
          <w:szCs w:val="20"/>
        </w:rPr>
      </w:r>
      <w:r>
        <w:rPr>
          <w:rFonts w:ascii="Tinos" w:hAnsi="Tinos" w:cs="Tinos"/>
          <w:b/>
          <w:bCs/>
          <w:smallCaps/>
          <w:sz w:val="20"/>
          <w:szCs w:val="20"/>
        </w:rPr>
      </w:r>
      <w:r>
        <w:rPr>
          <w:rFonts w:ascii="Tinos" w:hAnsi="Tinos" w:cs="Tinos"/>
          <w:b/>
          <w:bCs/>
          <w:smallCaps/>
          <w:sz w:val="20"/>
          <w:szCs w:val="20"/>
        </w:rPr>
      </w:r>
    </w:p>
    <w:p>
      <w:pPr>
        <w:jc w:val="center"/>
        <w:keepNext/>
        <w:spacing w:after="0" w:afterAutospacing="0" w:line="17" w:lineRule="atLeast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  <w:sz w:val="20"/>
          <w:szCs w:val="20"/>
        </w:rPr>
        <w:outlineLvl w:val="1"/>
      </w:pPr>
      <w:r>
        <w:rPr>
          <w:rFonts w:ascii="Tinos" w:hAnsi="Tinos" w:eastAsia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center"/>
        <w:keepNext/>
        <w:spacing w:after="0" w:afterAutospacing="0" w:line="17" w:lineRule="atLeast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  <w:sz w:val="22"/>
          <w:szCs w:val="22"/>
        </w:rPr>
        <w:outlineLvl w:val="1"/>
      </w:pPr>
      <w:r>
        <w:rPr>
          <w:rFonts w:ascii="Tinos" w:hAnsi="Tinos" w:eastAsia="Tinos" w:cs="Tinos"/>
          <w:b/>
          <w:sz w:val="22"/>
          <w:szCs w:val="22"/>
        </w:rPr>
        <w:t xml:space="preserve">Согласие на обработку персональных данных участника закупочной процедуры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jc w:val="center"/>
        <w:keepNext/>
        <w:spacing w:after="0" w:afterAutospacing="0" w:line="17" w:lineRule="atLeast"/>
        <w:widowControl w:val="off"/>
        <w:tabs>
          <w:tab w:val="left" w:pos="0" w:leader="none"/>
        </w:tabs>
        <w:rPr>
          <w:rFonts w:ascii="Tinos" w:hAnsi="Tinos" w:cs="Tinos"/>
          <w:b/>
          <w:sz w:val="22"/>
          <w:szCs w:val="22"/>
        </w:rPr>
      </w:pPr>
      <w:r>
        <w:rPr>
          <w:rFonts w:ascii="Tinos" w:hAnsi="Tinos" w:eastAsia="Tinos" w:cs="Tinos"/>
          <w:b/>
          <w:sz w:val="22"/>
          <w:szCs w:val="22"/>
        </w:rPr>
        <w:t xml:space="preserve">от «_____» ____________ 202____ г.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Настоящим, ________________________________________________________,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b/>
          <w:i/>
          <w:sz w:val="20"/>
          <w:szCs w:val="20"/>
        </w:rPr>
        <w:pBdr>
          <w:bottom w:val="single" w:color="000000" w:sz="12" w:space="1"/>
        </w:pBdr>
      </w:pPr>
      <w:r>
        <w:rPr>
          <w:rFonts w:ascii="Tinos" w:hAnsi="Tinos" w:eastAsia="Tinos" w:cs="Tinos"/>
          <w:b/>
          <w:i/>
          <w:sz w:val="20"/>
          <w:szCs w:val="20"/>
        </w:rPr>
        <w:t xml:space="preserve">(указывается</w:t>
      </w: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b/>
          <w:i/>
          <w:sz w:val="20"/>
          <w:szCs w:val="20"/>
        </w:rPr>
        <w:t xml:space="preserve">полное наименование участника закупочной процедуры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(потенциального контрагента), контрагента)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Адрес регистрации: _______________________________________________________,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Свидетельство о регистрации: ______________________________________________ </w:t>
      </w:r>
      <w:r>
        <w:rPr>
          <w:rFonts w:ascii="Tinos" w:hAnsi="Tinos" w:eastAsia="Tinos" w:cs="Tinos"/>
          <w:b/>
          <w:i/>
          <w:sz w:val="20"/>
          <w:szCs w:val="20"/>
        </w:rPr>
        <w:t xml:space="preserve">ИНН__________________________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КПП__________________________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ОГРН_________________________</w:t>
      </w:r>
      <w:r>
        <w:rPr>
          <w:rFonts w:ascii="Tinos" w:hAnsi="Tinos" w:eastAsia="Tinos" w:cs="Tinos"/>
          <w:sz w:val="20"/>
          <w:szCs w:val="20"/>
        </w:rPr>
        <w:t xml:space="preserve">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в лице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___________________________________________________________________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afterAutospacing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(указывается Ф.И.О.,</w:t>
      </w: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  <w:r>
        <w:rPr>
          <w:rFonts w:ascii="Tinos" w:hAnsi="Tinos" w:cs="Tinos"/>
          <w:b/>
          <w:bCs/>
          <w:i/>
          <w:iCs/>
          <w:sz w:val="20"/>
          <w:szCs w:val="20"/>
        </w:rPr>
      </w:r>
      <w:r>
        <w:rPr>
          <w:rFonts w:ascii="Tinos" w:hAnsi="Tinos" w:cs="Tinos"/>
          <w:b/>
          <w:bCs/>
          <w:i/>
          <w:iCs/>
          <w:sz w:val="20"/>
          <w:szCs w:val="20"/>
        </w:rPr>
      </w:r>
    </w:p>
    <w:p>
      <w:pPr>
        <w:keepNext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________________________________________________________________________________,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сведения о дате выдачи указанного документа и выдавшем его органе) *</w:t>
      </w:r>
      <w:r>
        <w:rPr>
          <w:rFonts w:ascii="Tinos" w:hAnsi="Tinos" w:cs="Tinos"/>
          <w:b/>
          <w:bCs/>
          <w:i/>
          <w:iCs/>
          <w:sz w:val="20"/>
          <w:szCs w:val="20"/>
        </w:rPr>
      </w:r>
      <w:r>
        <w:rPr>
          <w:rFonts w:ascii="Tinos" w:hAnsi="Tinos" w:cs="Tinos"/>
          <w:b/>
          <w:bCs/>
          <w:i/>
          <w:iCs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действующего на основании _______________</w:t>
      </w:r>
      <w:r>
        <w:rPr>
          <w:rFonts w:ascii="Tinos" w:hAnsi="Tinos" w:eastAsia="Tinos" w:cs="Tinos"/>
          <w:i/>
          <w:sz w:val="20"/>
          <w:szCs w:val="20"/>
        </w:rPr>
        <w:t xml:space="preserve">,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дает свое согласие АО «Россети Сибирь Тываэнерго» </w:t>
      </w:r>
      <w:r>
        <w:rPr>
          <w:rFonts w:ascii="Tinos" w:hAnsi="Tinos" w:eastAsia="Tinos" w:cs="Tinos"/>
          <w:sz w:val="20"/>
          <w:szCs w:val="20"/>
        </w:rPr>
        <w:t xml:space="preserve">зарегистрированному по адресу: 667001, Республика Тыва, г. Кызыл, ул. Рабочая, 4  </w:t>
      </w:r>
      <w:r>
        <w:rPr>
          <w:rFonts w:ascii="Tinos" w:hAnsi="Tinos" w:eastAsia="Tinos" w:cs="Tinos"/>
          <w:b/>
          <w:sz w:val="20"/>
          <w:szCs w:val="20"/>
        </w:rPr>
        <w:t xml:space="preserve">Публичному акционерному обществу  </w:t>
      </w:r>
      <w:r>
        <w:rPr>
          <w:rFonts w:ascii="Tinos" w:hAnsi="Tinos" w:eastAsia="Tinos" w:cs="Tinos"/>
          <w:b/>
          <w:sz w:val="20"/>
          <w:szCs w:val="20"/>
        </w:rPr>
        <w:t xml:space="preserve"> «Россети Сибирь»</w:t>
      </w:r>
      <w:r>
        <w:rPr>
          <w:rFonts w:ascii="Tinos" w:hAnsi="Tinos" w:eastAsia="Tinos" w:cs="Tinos"/>
          <w:sz w:val="20"/>
          <w:szCs w:val="20"/>
        </w:rPr>
        <w:t xml:space="preserve">, зарегистрированному по адресу: г. Красноярск, ул. Бограда 144 А,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и</w:t>
      </w:r>
      <w:r>
        <w:rPr>
          <w:rFonts w:ascii="Tinos" w:hAnsi="Tinos" w:eastAsia="Tinos" w:cs="Tinos"/>
          <w:i/>
          <w:sz w:val="20"/>
          <w:szCs w:val="20"/>
        </w:rPr>
        <w:t xml:space="preserve"> </w:t>
      </w:r>
      <w:r>
        <w:rPr>
          <w:rFonts w:ascii="Tinos" w:hAnsi="Tinos" w:eastAsia="Tinos" w:cs="Tinos"/>
          <w:b/>
          <w:sz w:val="20"/>
          <w:szCs w:val="20"/>
        </w:rPr>
        <w:t xml:space="preserve">Публичному акционерному обществу  «Российские сети»</w:t>
      </w:r>
      <w:r>
        <w:rPr>
          <w:rFonts w:ascii="Tinos" w:hAnsi="Tinos" w:eastAsia="Tinos" w:cs="Tinos"/>
          <w:sz w:val="20"/>
          <w:szCs w:val="20"/>
        </w:rPr>
        <w:t xml:space="preserve">, </w:t>
      </w:r>
      <w:r>
        <w:rPr>
          <w:rFonts w:ascii="Tinos" w:hAnsi="Tinos" w:eastAsia="Tinos" w:cs="Tinos"/>
          <w:sz w:val="20"/>
          <w:szCs w:val="20"/>
        </w:rPr>
        <w:t xml:space="preserve">зарегистрированному по адресу: </w:t>
      </w:r>
      <w:r>
        <w:rPr>
          <w:rFonts w:ascii="Tinos" w:hAnsi="Tinos" w:eastAsia="Tinos" w:cs="Tinos"/>
          <w:sz w:val="20"/>
          <w:szCs w:val="20"/>
        </w:rPr>
        <w:br/>
        <w:t xml:space="preserve">г. Москва, ул. Беловежская, 4, в отношении</w:t>
      </w:r>
      <w:r>
        <w:rPr>
          <w:rFonts w:ascii="Tinos" w:hAnsi="Tinos" w:eastAsia="Tinos" w:cs="Tinos"/>
          <w:sz w:val="20"/>
          <w:szCs w:val="20"/>
        </w:rPr>
        <w:t xml:space="preserve">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nos" w:hAnsi="Tinos" w:eastAsia="Tinos" w:cs="Tinos"/>
          <w:sz w:val="20"/>
          <w:szCs w:val="20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</w:t>
      </w:r>
      <w:r>
        <w:rPr>
          <w:rFonts w:ascii="Tinos" w:hAnsi="Tinos" w:eastAsia="Tinos" w:cs="Tinos"/>
          <w:sz w:val="20"/>
          <w:szCs w:val="20"/>
        </w:rPr>
        <w:t xml:space="preserve">субконтрагентов</w:t>
      </w:r>
      <w:r>
        <w:rPr>
          <w:rFonts w:ascii="Tinos" w:hAnsi="Tinos" w:eastAsia="Tinos" w:cs="Tinos"/>
          <w:sz w:val="20"/>
          <w:szCs w:val="20"/>
        </w:rPr>
        <w:t xml:space="preserve">: </w:t>
      </w:r>
      <w:r>
        <w:rPr>
          <w:rFonts w:ascii="Tinos" w:hAnsi="Tinos" w:eastAsia="Tinos" w:cs="Tinos"/>
          <w:sz w:val="20"/>
          <w:szCs w:val="20"/>
        </w:rPr>
        <w:t xml:space="preserve">фамилия и</w:t>
      </w:r>
      <w:r>
        <w:rPr>
          <w:rFonts w:ascii="Tinos" w:hAnsi="Tinos" w:eastAsia="Tinos" w:cs="Tinos"/>
          <w:sz w:val="20"/>
          <w:szCs w:val="20"/>
        </w:rPr>
        <w:t xml:space="preserve">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>
        <w:rPr>
          <w:rFonts w:ascii="Tinos" w:hAnsi="Tinos" w:eastAsia="Tinos" w:cs="Tinos"/>
          <w:sz w:val="20"/>
          <w:szCs w:val="20"/>
        </w:rPr>
        <w:t xml:space="preserve">в том числе с использованием информационных систем, </w:t>
      </w:r>
      <w:r>
        <w:rPr>
          <w:rFonts w:ascii="Tinos" w:hAnsi="Tinos" w:eastAsia="Tinos" w:cs="Tinos"/>
          <w:sz w:val="20"/>
          <w:szCs w:val="20"/>
        </w:rPr>
        <w:br/>
        <w:t xml:space="preserve">а также на представление указанной информации в уполномоченные государственные органы (Минэнерго России, </w:t>
      </w:r>
      <w:r>
        <w:rPr>
          <w:rFonts w:ascii="Tinos" w:hAnsi="Tinos" w:eastAsia="Tinos" w:cs="Tinos"/>
          <w:sz w:val="20"/>
          <w:szCs w:val="20"/>
        </w:rPr>
        <w:t xml:space="preserve">Росфинмониторинг</w:t>
      </w:r>
      <w:r>
        <w:rPr>
          <w:rFonts w:ascii="Tinos" w:hAnsi="Tinos" w:eastAsia="Tinos" w:cs="Tinos"/>
          <w:sz w:val="20"/>
          <w:szCs w:val="20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hAnsi="Tinos" w:eastAsia="Tinos" w:cs="Tinos"/>
          <w:sz w:val="20"/>
          <w:szCs w:val="20"/>
        </w:rPr>
        <w:br/>
        <w:t xml:space="preserve">и бенефициаров.***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Цель обработки персональных данных: </w:t>
      </w:r>
      <w:r>
        <w:rPr>
          <w:rFonts w:ascii="Tinos" w:hAnsi="Tinos" w:eastAsia="Tinos" w:cs="Tinos"/>
          <w:sz w:val="20"/>
          <w:szCs w:val="20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rPr>
          <w:rFonts w:ascii="Tinos" w:hAnsi="Tinos" w:eastAsia="Tinos" w:cs="Tinos"/>
          <w:sz w:val="20"/>
          <w:szCs w:val="20"/>
        </w:rPr>
        <w:t xml:space="preserve">выполнение поручений Правительства Российской Федерации </w:t>
      </w:r>
      <w:r>
        <w:rPr>
          <w:rFonts w:ascii="Tinos" w:hAnsi="Tinos" w:eastAsia="Tinos" w:cs="Tinos"/>
          <w:sz w:val="20"/>
          <w:szCs w:val="20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hAnsi="Tinos" w:eastAsia="Tinos" w:cs="Tinos"/>
          <w:sz w:val="20"/>
          <w:szCs w:val="20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nos" w:hAnsi="Tinos" w:eastAsia="Tinos" w:cs="Tinos"/>
          <w:sz w:val="20"/>
          <w:szCs w:val="20"/>
        </w:rPr>
        <w:br/>
        <w:t xml:space="preserve"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, либо отзыва настоящего согласия посредством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письменного обращения субъекта персональных данных с требованием о прекращении обработки его персональных данных.</w:t>
      </w:r>
      <w:r>
        <w:rPr>
          <w:rFonts w:ascii="Tinos" w:hAnsi="Tinos" w:cs="Tinos"/>
          <w:color w:val="000000"/>
          <w:sz w:val="20"/>
          <w:szCs w:val="20"/>
        </w:rPr>
      </w:r>
      <w:r>
        <w:rPr>
          <w:rFonts w:ascii="Tinos" w:hAnsi="Tinos" w:cs="Tinos"/>
          <w:color w:val="000000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hAnsi="Tinos" w:eastAsia="Tinos" w:cs="Tinos"/>
          <w:color w:val="000000"/>
          <w:sz w:val="20"/>
          <w:szCs w:val="20"/>
        </w:rPr>
        <w:t xml:space="preserve">_______________________________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                                ___________________________</w:t>
      </w:r>
      <w:r>
        <w:rPr>
          <w:rFonts w:ascii="Tinos" w:hAnsi="Tinos" w:cs="Tinos"/>
          <w:color w:val="000000"/>
          <w:sz w:val="20"/>
          <w:szCs w:val="20"/>
        </w:rPr>
      </w:r>
      <w:r>
        <w:rPr>
          <w:rFonts w:ascii="Tinos" w:hAnsi="Tinos" w:cs="Tinos"/>
          <w:color w:val="000000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(Подпись субъекта персональных данных/                                 </w:t>
      </w:r>
      <w:r>
        <w:rPr>
          <w:rFonts w:ascii="Tinos" w:hAnsi="Tinos" w:eastAsia="Tinos" w:cs="Tinos"/>
          <w:sz w:val="20"/>
          <w:szCs w:val="20"/>
        </w:rPr>
        <w:t xml:space="preserve">   (</w:t>
      </w:r>
      <w:r>
        <w:rPr>
          <w:rFonts w:ascii="Tinos" w:hAnsi="Tinos" w:eastAsia="Tinos" w:cs="Tinos"/>
          <w:sz w:val="20"/>
          <w:szCs w:val="20"/>
        </w:rPr>
        <w:t xml:space="preserve">Ф.И.О. и должность подписавшего*)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уполномоченного представителя) 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  <w:t xml:space="preserve">М.П.                                                                                  М.П.</w:t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 Указывается фамилия, имя, отчество, адрес су</w:t>
      </w:r>
      <w:r>
        <w:rPr>
          <w:rFonts w:ascii="Tinos" w:hAnsi="Tinos" w:eastAsia="Tinos" w:cs="Tinos"/>
          <w:sz w:val="20"/>
          <w:szCs w:val="20"/>
        </w:rPr>
        <w:t xml:space="preserve"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nos" w:hAnsi="Tinos" w:eastAsia="Tinos" w:cs="Tinos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r>
        <w:rPr>
          <w:rFonts w:ascii="Tinos" w:hAnsi="Tinos" w:eastAsia="Tinos" w:cs="Tinos"/>
          <w:sz w:val="20"/>
          <w:szCs w:val="20"/>
        </w:rPr>
        <w:t xml:space="preserve">субконтрагентов</w:t>
      </w:r>
      <w:r>
        <w:rPr>
          <w:rFonts w:ascii="Tinos" w:hAnsi="Tinos" w:eastAsia="Tinos" w:cs="Tinos"/>
          <w:sz w:val="20"/>
          <w:szCs w:val="20"/>
        </w:rPr>
        <w:t xml:space="preserve"> и их руководителей, собственников (участников, учредителей, акционеров), в том числе конечных бенефициаров (</w:t>
      </w:r>
      <w:r>
        <w:rPr>
          <w:rFonts w:ascii="Tinos" w:hAnsi="Tinos" w:eastAsia="Tinos" w:cs="Tinos"/>
          <w:sz w:val="20"/>
          <w:szCs w:val="20"/>
        </w:rPr>
        <w:t xml:space="preserve">фамилия, имя, отчество; серия и номер документа, удостоверяющего личность; ИНН </w:t>
      </w:r>
      <w:r>
        <w:rPr>
          <w:rFonts w:ascii="Tinos" w:hAnsi="Tinos" w:eastAsia="Tinos" w:cs="Tinos"/>
          <w:sz w:val="20"/>
          <w:szCs w:val="20"/>
        </w:rPr>
        <w:t xml:space="preserve">(участников, учредителей, акционеров, руководителей).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</w:t>
      </w:r>
      <w:r>
        <w:rPr>
          <w:rFonts w:ascii="Tinos" w:hAnsi="Tinos" w:eastAsia="Tinos" w:cs="Tinos"/>
          <w:sz w:val="20"/>
          <w:szCs w:val="20"/>
        </w:rPr>
        <w:t xml:space="preserve">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</w:t>
      </w:r>
      <w:r>
        <w:rPr>
          <w:rFonts w:ascii="Tinos" w:hAnsi="Tinos" w:eastAsia="Tinos" w:cs="Tinos"/>
          <w:sz w:val="20"/>
          <w:szCs w:val="20"/>
        </w:rPr>
        <w:t xml:space="preserve">субконтрагентов</w:t>
      </w:r>
      <w:r>
        <w:rPr>
          <w:rFonts w:ascii="Tinos" w:hAnsi="Tinos" w:eastAsia="Tinos" w:cs="Tinos"/>
          <w:sz w:val="20"/>
          <w:szCs w:val="20"/>
        </w:rPr>
        <w:t xml:space="preserve">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</w:t>
      </w:r>
      <w:r>
        <w:rPr>
          <w:rFonts w:ascii="Tinos" w:hAnsi="Tinos" w:eastAsia="Tinos" w:cs="Tinos"/>
          <w:sz w:val="20"/>
          <w:szCs w:val="20"/>
        </w:rPr>
        <w:t xml:space="preserve">субконтрагента</w:t>
      </w:r>
      <w:r>
        <w:rPr>
          <w:rFonts w:ascii="Tinos" w:hAnsi="Tinos" w:eastAsia="Tinos" w:cs="Tinos"/>
          <w:sz w:val="20"/>
          <w:szCs w:val="20"/>
        </w:rPr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r>
        <w:rPr>
          <w:rFonts w:ascii="Tinos" w:hAnsi="Tinos" w:eastAsia="Tinos" w:cs="Tinos"/>
          <w:sz w:val="20"/>
          <w:szCs w:val="20"/>
        </w:rPr>
        <w:t xml:space="preserve">субконтрагентов</w:t>
      </w:r>
      <w:r>
        <w:rPr>
          <w:rFonts w:ascii="Tinos" w:hAnsi="Tinos" w:eastAsia="Tinos" w:cs="Tinos"/>
          <w:sz w:val="20"/>
          <w:szCs w:val="20"/>
        </w:rPr>
        <w:t xml:space="preserve">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639"/>
      </w:tblGrid>
      <w:tr>
        <w:tblPrEx/>
        <w:trPr>
          <w:trHeight w:val="8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i/>
                <w:sz w:val="20"/>
                <w:szCs w:val="20"/>
              </w:rPr>
            </w:r>
            <w:r>
              <w:rPr>
                <w:rFonts w:ascii="Tinos" w:hAnsi="Tinos" w:cs="Tinos"/>
                <w:b/>
                <w:i/>
                <w:sz w:val="20"/>
                <w:szCs w:val="20"/>
              </w:rPr>
            </w:r>
            <w:r>
              <w:rPr>
                <w:rFonts w:ascii="Tinos" w:hAnsi="Tinos" w:cs="Tinos"/>
                <w:b/>
                <w:i/>
                <w:sz w:val="20"/>
                <w:szCs w:val="20"/>
              </w:rPr>
            </w:r>
          </w:p>
        </w:tc>
      </w:tr>
      <w:tr>
        <w:tblPrEx/>
        <w:trPr/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i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ФОРМУ СОГЛАСОВАЛИ:</w:t>
            </w:r>
            <w:r>
              <w:rPr>
                <w:rFonts w:ascii="Tinos" w:hAnsi="Tinos" w:cs="Tinos"/>
                <w:b/>
                <w:i/>
                <w:sz w:val="22"/>
                <w:szCs w:val="22"/>
              </w:rPr>
            </w:r>
            <w:r>
              <w:rPr>
                <w:rFonts w:ascii="Tinos" w:hAnsi="Tinos" w:cs="Tinos"/>
                <w:b/>
                <w:i/>
                <w:sz w:val="22"/>
                <w:szCs w:val="22"/>
              </w:rPr>
            </w:r>
          </w:p>
        </w:tc>
      </w:tr>
      <w:tr>
        <w:tblPrEx/>
        <w:trPr>
          <w:trHeight w:val="305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</w:p>
          <w:tbl>
            <w:tblPr>
              <w:tblW w:w="14306" w:type="dxa"/>
              <w:tblInd w:w="-109" w:type="dxa"/>
              <w:tblLayout w:type="fixed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>
              <w:tblPrEx/>
              <w:trPr>
                <w:trHeight w:val="411"/>
              </w:trPr>
              <w:tc>
                <w:tcPr>
                  <w:tcW w:w="4787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Покупатель: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_____________________/ А.И. Таранков /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Поставщик: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_____________________/</w:t>
                  </w: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____ /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394"/>
              </w:trPr>
              <w:tc>
                <w:tcPr>
                  <w:tcW w:w="4787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4787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«_____»_____________20___г.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«_____» _____________20___г.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</w:tr>
          </w:tbl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i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i/>
                <w:sz w:val="22"/>
                <w:szCs w:val="22"/>
              </w:rPr>
            </w:r>
            <w:r>
              <w:rPr>
                <w:rFonts w:ascii="Tinos" w:hAnsi="Tinos" w:cs="Tinos"/>
                <w:b/>
                <w:i/>
                <w:sz w:val="22"/>
                <w:szCs w:val="22"/>
              </w:rPr>
            </w:r>
            <w:r>
              <w:rPr>
                <w:rFonts w:ascii="Tinos" w:hAnsi="Tinos" w:cs="Tinos"/>
                <w:b/>
                <w:i/>
                <w:sz w:val="22"/>
                <w:szCs w:val="22"/>
              </w:rPr>
            </w:r>
          </w:p>
        </w:tc>
      </w:tr>
    </w:tbl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afterAutospacing="0" w:line="17" w:lineRule="atLeast"/>
        <w:rPr>
          <w:rFonts w:ascii="Tinos" w:hAnsi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</w:rPr>
        <w:t xml:space="preserve">   </w:t>
      </w: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</w:p>
    <w:p>
      <w:pPr>
        <w:ind w:left="6237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 w:right="0" w:firstLine="0"/>
        <w:jc w:val="left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 w:right="0" w:firstLine="0"/>
        <w:jc w:val="left"/>
        <w:spacing w:after="0" w:afterAutospacing="0" w:line="17" w:lineRule="atLeast"/>
        <w:rPr>
          <w:rFonts w:ascii="Tinos" w:hAnsi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afterAutospacing="0" w:line="17" w:lineRule="atLeast"/>
        <w:rPr>
          <w:rFonts w:ascii="Tinos" w:hAnsi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afterAutospacing="0" w:line="17" w:lineRule="atLeast"/>
        <w:rPr>
          <w:rFonts w:ascii="Tinos" w:hAnsi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afterAutospacing="0" w:line="17" w:lineRule="atLeast"/>
        <w:rPr>
          <w:rFonts w:ascii="Tinos" w:hAnsi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afterAutospacing="0" w:line="17" w:lineRule="atLeast"/>
        <w:rPr>
          <w:rFonts w:ascii="Tinos" w:hAnsi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ние № 4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к Д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оговору №_______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_________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803" w:right="0" w:firstLine="0"/>
        <w:jc w:val="left"/>
        <w:spacing w:after="0" w:afterAutospacing="0" w:line="17" w:lineRule="atLeast"/>
        <w:rPr>
          <w:rFonts w:ascii="Times New Roman" w:hAnsi="Times New Roman" w:eastAsia="Times New Roman" w:cs="Times New Roman"/>
          <w:b/>
          <w:bCs/>
          <w:sz w:val="20"/>
          <w:szCs w:val="20"/>
          <w:highlight w:val="none"/>
        </w:rPr>
      </w:pPr>
      <w:r>
        <w:rPr>
          <w:rFonts w:ascii="Times New Roman" w:hAnsi="Times New Roman" w:cs="Times New Roman"/>
          <w:sz w:val="20"/>
          <w:szCs w:val="20"/>
        </w:rPr>
        <w:t xml:space="preserve">от "____" __________ 20___</w:t>
      </w:r>
      <w:r>
        <w:rPr>
          <w:rFonts w:ascii="Times New Roman" w:hAnsi="Times New Roman" w:eastAsia="Times New Roman" w:cs="Times New Roman"/>
          <w:b/>
          <w:bCs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afterAutospacing="0" w:line="17" w:lineRule="atLeast"/>
        <w:rPr>
          <w:rFonts w:ascii="Times New Roman" w:hAnsi="Times New Roman" w:eastAsia="Times New Roman" w:cs="Times New Roman"/>
          <w:b/>
          <w:bCs/>
          <w:sz w:val="20"/>
          <w:szCs w:val="20"/>
        </w:rPr>
      </w:pPr>
      <w:r>
        <w:rPr>
          <w:rFonts w:ascii="Times New Roman" w:hAnsi="Times New Roman" w:eastAsia="Times New Roman" w:cs="Times New Roman"/>
          <w:b/>
          <w:bCs/>
          <w:sz w:val="20"/>
          <w:szCs w:val="20"/>
        </w:rPr>
      </w:r>
      <w:r>
        <w:rPr>
          <w:rFonts w:ascii="Times New Roman" w:hAnsi="Times New Roman" w:eastAsia="Times New Roman" w:cs="Times New Roman"/>
          <w:b/>
          <w:bCs/>
          <w:sz w:val="20"/>
          <w:szCs w:val="20"/>
        </w:rPr>
      </w:r>
      <w:r>
        <w:rPr>
          <w:rFonts w:ascii="Times New Roman" w:hAnsi="Times New Roman" w:eastAsia="Times New Roman" w:cs="Times New Roman"/>
          <w:b/>
          <w:bCs/>
          <w:sz w:val="20"/>
          <w:szCs w:val="20"/>
        </w:rPr>
      </w:r>
    </w:p>
    <w:p>
      <w:pPr>
        <w:ind w:left="0" w:right="0" w:firstLine="0"/>
        <w:jc w:val="left"/>
        <w:spacing w:after="0" w:afterAutospacing="0" w:line="17" w:lineRule="atLeas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left="0" w:right="0" w:firstLine="0"/>
        <w:jc w:val="center"/>
        <w:spacing w:after="0" w:afterAutospacing="0" w:line="17" w:lineRule="atLeas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left="0" w:right="0" w:firstLine="0"/>
        <w:jc w:val="center"/>
        <w:spacing w:after="0" w:afterAutospacing="0" w:line="17" w:lineRule="atLeas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Технические характеристики и требования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left="0" w:right="0" w:firstLine="0"/>
        <w:jc w:val="left"/>
        <w:spacing w:after="0" w:afterAutospacing="0" w:line="17" w:lineRule="atLeas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10737" w:type="dxa"/>
        <w:jc w:val="center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549"/>
        <w:gridCol w:w="1701"/>
        <w:gridCol w:w="5362"/>
        <w:gridCol w:w="1583"/>
        <w:gridCol w:w="1542"/>
      </w:tblGrid>
      <w:tr>
        <w:tblPrEx/>
        <w:trPr>
          <w:jc w:val="center"/>
          <w:trHeight w:val="50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b/>
                <w:bCs/>
                <w:sz w:val="24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№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4"/>
                <w:szCs w:val="18"/>
              </w:rPr>
            </w:r>
          </w:p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b/>
                <w:bCs/>
                <w:sz w:val="24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п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  <w:lang w:val="en-US"/>
              </w:rPr>
              <w:t xml:space="preserve">/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п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4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b/>
                <w:bCs/>
                <w:sz w:val="24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Наименование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4"/>
                <w:szCs w:val="18"/>
              </w:rPr>
            </w:r>
          </w:p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b/>
                <w:bCs/>
                <w:sz w:val="24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оборудования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4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6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b/>
                <w:bCs/>
                <w:sz w:val="24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Краткая характеристика и комплектация оборудования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4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8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Соответствие ГОСТ, ТУ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4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  <w:lang w:eastAsia="ru-RU"/>
              </w:rPr>
              <w:t xml:space="preserve">Предлагаемые технические характеристики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3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62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4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83" w:type="dxa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42" w:type="dxa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</w:p>
        </w:tc>
      </w:tr>
      <w:tr>
        <w:tblPrEx/>
        <w:trPr>
          <w:cantSplit/>
          <w:jc w:val="center"/>
          <w:trHeight w:val="467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tabs>
                <w:tab w:val="left" w:pos="185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1.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color w:val="00000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ЗБ "Не влезай, убьет"</w:t>
            </w: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</w:r>
            <w:r>
              <w:rPr>
                <w:rFonts w:ascii="Tinos" w:hAnsi="Tinos" w:cs="Tinos"/>
                <w:color w:val="000000"/>
              </w:rPr>
            </w:r>
          </w:p>
          <w:p>
            <w:pPr>
              <w:spacing w:after="0" w:afterAutospacing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62" w:type="dxa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color w:val="00000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Материал ЗБ – металл толщиной 0,8 мм.. Размер знака не менее 200х300 мм.          Крепление - саморезами на деревянную опору и лентой бандажной на бетонную и металлическую опоры.</w:t>
            </w: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</w:r>
            <w:r>
              <w:rPr>
                <w:rFonts w:ascii="Tinos" w:hAnsi="Tinos" w:cs="Tinos"/>
                <w:color w:val="000000"/>
              </w:rPr>
            </w:r>
          </w:p>
          <w:p>
            <w:pPr>
              <w:spacing w:after="0" w:afterAutospacing="0" w:line="17" w:lineRule="atLeast"/>
              <w:rPr>
                <w:rFonts w:ascii="Tinos" w:hAnsi="Tinos" w:cs="Tinos"/>
                <w:color w:val="00000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Минимальное количество отверстий на ЗБ -4.</w:t>
            </w: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</w:r>
            <w:r>
              <w:rPr>
                <w:rFonts w:ascii="Tinos" w:hAnsi="Tinos" w:cs="Tinos"/>
                <w:color w:val="000000"/>
              </w:rPr>
            </w:r>
          </w:p>
          <w:p>
            <w:pPr>
              <w:spacing w:after="0" w:afterAutospacing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590675" cy="1933575"/>
                      <wp:effectExtent l="0" t="0" r="0" b="0"/>
                      <wp:docPr id="1" name="Рисунок 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24521692" name=""/>
                              <pic:cNvPicPr/>
                              <pic:nvPr/>
                            </pic:nvPicPr>
                            <pic:blipFill>
                              <a:blip r:embed="rId2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90674" cy="193357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25.25pt;height:152.25pt;mso-wrap-distance-left:0.00pt;mso-wrap-distance-top:0.00pt;mso-wrap-distance-right:0.00pt;mso-wrap-distance-bottom:0.00pt;" stroked="f">
                      <v:path textboxrect="0,0,0,0"/>
                      <v:imagedata r:id="rId23" o:title=""/>
                    </v:shape>
                  </w:pict>
                </mc:Fallback>
              </mc:AlternateConten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83" w:type="dxa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СТО34.01-24-001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42" w:type="dxa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jc w:val="center"/>
          <w:trHeight w:val="45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tabs>
                <w:tab w:val="left" w:pos="185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color w:val="00000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Знак инф д/ВЛ ПС</w:t>
            </w: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</w:r>
            <w:r>
              <w:rPr>
                <w:rFonts w:ascii="Tinos" w:hAnsi="Tinos" w:cs="Tinos"/>
                <w:color w:val="00000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62" w:type="dxa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color w:val="00000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Приме</w:t>
            </w: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р:</w:t>
            </w: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</w:r>
            <w:r>
              <w:rPr>
                <w:rFonts w:ascii="Tinos" w:hAnsi="Tinos" w:cs="Tinos"/>
                <w:color w:val="000000"/>
              </w:rPr>
            </w:r>
          </w:p>
          <w:p>
            <w:pPr>
              <w:spacing w:after="0" w:afterAutospacing="0" w:line="17" w:lineRule="atLeast"/>
              <w:rPr>
                <w:rFonts w:ascii="Tinos" w:hAnsi="Tinos" w:cs="Tinos"/>
                <w:color w:val="00000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Материал ЗБ – металл толщиной 0,</w:t>
            </w: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8 мм.. Размер знака </w:t>
            </w: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(соотношение сторон 3:2, размер 900х600 мм)</w:t>
            </w: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Крепление - саморезами на деревянную опору и лентой бандажной на бетонную и металлическую опоры.</w:t>
            </w: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</w:r>
            <w:r>
              <w:rPr>
                <w:rFonts w:ascii="Tinos" w:hAnsi="Tinos" w:cs="Tinos"/>
                <w:color w:val="000000"/>
              </w:rPr>
            </w:r>
          </w:p>
          <w:p>
            <w:pPr>
              <w:spacing w:after="0" w:afterAutospacing="0" w:line="17" w:lineRule="atLeast"/>
              <w:rPr>
                <w:rFonts w:ascii="Tinos" w:hAnsi="Tinos" w:cs="Tinos"/>
                <w:color w:val="00000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265760" cy="2510885"/>
                      <wp:effectExtent l="6350" t="6350" r="6350" b="6350"/>
                      <wp:docPr id="2" name="_x0000_i1026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82318771" name=""/>
                              <pic:cNvPicPr/>
                              <pic:nvPr/>
                            </pic:nvPicPr>
                            <pic:blipFill>
                              <a:blip r:embed="rId24"/>
                              <a:stretch/>
                            </pic:blipFill>
                            <pic:spPr bwMode="auto">
                              <a:xfrm flipH="0" flipV="0">
                                <a:off x="0" y="0"/>
                                <a:ext cx="5265759" cy="251088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" o:spid="_x0000_s1" type="#_x0000_t75" style="width:414.63pt;height:197.71pt;mso-wrap-distance-left:0.00pt;mso-wrap-distance-top:0.00pt;mso-wrap-distance-right:0.00pt;mso-wrap-distance-bottom:0.00pt;" stroked="f">
                      <v:path textboxrect="0,0,0,0"/>
                      <v:imagedata r:id="rId24" o:title=""/>
                    </v:shape>
                  </w:pict>
                </mc:Fallback>
              </mc:AlternateContent>
            </w: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</w:r>
            <w:r>
              <w:rPr>
                <w:rFonts w:ascii="Tinos" w:hAnsi="Tinos" w:cs="Tinos"/>
                <w:color w:val="00000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83" w:type="dxa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42" w:type="dxa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</w:tbl>
    <w:p>
      <w:pPr>
        <w:ind w:left="0" w:right="0" w:firstLine="0"/>
        <w:jc w:val="left"/>
        <w:spacing w:after="0" w:afterAutospacing="0" w:line="17" w:lineRule="atLeas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left="0" w:right="0" w:firstLine="0"/>
        <w:jc w:val="center"/>
        <w:spacing w:after="0" w:afterAutospacing="0" w:line="17" w:lineRule="atLeas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left="0" w:right="0" w:firstLine="0"/>
        <w:jc w:val="center"/>
        <w:spacing w:after="0" w:afterAutospacing="0" w:line="17" w:lineRule="atLeas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left="0" w:right="0" w:firstLine="0"/>
        <w:jc w:val="center"/>
        <w:spacing w:after="0" w:afterAutospacing="0" w:line="17" w:lineRule="atLeas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left="0" w:right="0" w:firstLine="0"/>
        <w:jc w:val="center"/>
        <w:spacing w:after="0" w:afterAutospacing="0" w:line="17" w:lineRule="atLeas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left="0" w:right="0" w:firstLine="0"/>
        <w:jc w:val="right"/>
        <w:spacing w:after="0" w:line="240" w:lineRule="auto"/>
        <w:rPr>
          <w:rFonts w:ascii="Tinos" w:hAnsi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</w:rPr>
        <w:t xml:space="preserve">Приложе</w:t>
      </w:r>
      <w:r>
        <w:rPr>
          <w:rFonts w:ascii="Tinos" w:hAnsi="Tinos" w:eastAsia="Tinos" w:cs="Tinos"/>
          <w:sz w:val="20"/>
          <w:szCs w:val="20"/>
        </w:rPr>
        <w:t xml:space="preserve">ние № 5</w:t>
      </w: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</w:p>
    <w:p>
      <w:pPr>
        <w:ind w:left="0" w:right="0" w:firstLine="0"/>
        <w:jc w:val="right"/>
        <w:spacing w:after="0" w:line="240" w:lineRule="auto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к Д</w:t>
      </w:r>
      <w:r>
        <w:rPr>
          <w:rFonts w:ascii="Tinos" w:hAnsi="Tinos" w:eastAsia="Tinos" w:cs="Tinos"/>
          <w:sz w:val="20"/>
          <w:szCs w:val="20"/>
        </w:rPr>
        <w:t xml:space="preserve">оговору №_______</w:t>
      </w:r>
      <w:r>
        <w:rPr>
          <w:rFonts w:ascii="Tinos" w:hAnsi="Tinos" w:eastAsia="Tinos" w:cs="Tinos"/>
          <w:sz w:val="20"/>
          <w:szCs w:val="20"/>
        </w:rPr>
        <w:t xml:space="preserve">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0" w:right="0" w:firstLine="0"/>
        <w:jc w:val="right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от "____" __________ 20___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0" w:right="0" w:firstLine="0"/>
        <w:jc w:val="left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0" w:right="0" w:firstLine="0"/>
        <w:jc w:val="center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0" w:right="0" w:firstLine="0"/>
        <w:jc w:val="center"/>
        <w:spacing w:after="0" w:afterAutospacing="0" w:line="17" w:lineRule="atLeast"/>
        <w:rPr>
          <w:rFonts w:ascii="Tinos" w:hAnsi="Tinos" w:cs="Tinos"/>
          <w:b/>
          <w:bCs/>
          <w:sz w:val="22"/>
          <w:szCs w:val="22"/>
          <w:highlight w:val="none"/>
        </w:rPr>
      </w:pPr>
      <w:r>
        <w:rPr>
          <w:rFonts w:ascii="Tinos" w:hAnsi="Tinos" w:eastAsia="Tinos" w:cs="Tinos"/>
          <w:b/>
          <w:sz w:val="22"/>
          <w:szCs w:val="22"/>
          <w:highlight w:val="none"/>
        </w:rPr>
        <w:t xml:space="preserve">Условия предоставления обеспечения исполнения обязательств </w:t>
      </w:r>
      <w:r>
        <w:rPr>
          <w:rFonts w:ascii="Tinos" w:hAnsi="Tinos" w:cs="Tinos"/>
          <w:b/>
          <w:bCs/>
          <w:sz w:val="22"/>
          <w:szCs w:val="22"/>
          <w:highlight w:val="none"/>
        </w:rPr>
      </w:r>
      <w:r>
        <w:rPr>
          <w:rFonts w:ascii="Tinos" w:hAnsi="Tinos" w:cs="Tinos"/>
          <w:b/>
          <w:bCs/>
          <w:sz w:val="22"/>
          <w:szCs w:val="22"/>
          <w:highlight w:val="none"/>
        </w:rPr>
      </w:r>
    </w:p>
    <w:p>
      <w:pPr>
        <w:ind w:left="0" w:right="0" w:firstLine="0"/>
        <w:jc w:val="center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  <w:highlight w:val="none"/>
        </w:rPr>
      </w:pPr>
      <w:r>
        <w:rPr>
          <w:rFonts w:ascii="Tinos" w:hAnsi="Tinos" w:eastAsia="Tinos" w:cs="Tinos"/>
          <w:b/>
          <w:sz w:val="22"/>
          <w:szCs w:val="22"/>
          <w:highlight w:val="none"/>
        </w:rPr>
        <w:t xml:space="preserve">при аномально низкой цене</w:t>
      </w:r>
      <w:r>
        <w:rPr>
          <w:rFonts w:ascii="Tinos" w:hAnsi="Tinos" w:cs="Tinos"/>
          <w:b/>
          <w:bCs/>
          <w:sz w:val="20"/>
          <w:szCs w:val="20"/>
          <w:highlight w:val="none"/>
        </w:rPr>
      </w:r>
      <w:r>
        <w:rPr>
          <w:rFonts w:ascii="Tinos" w:hAnsi="Tinos" w:cs="Tinos"/>
          <w:b/>
          <w:bCs/>
          <w:sz w:val="20"/>
          <w:szCs w:val="20"/>
          <w:highlight w:val="none"/>
        </w:rPr>
      </w:r>
    </w:p>
    <w:p>
      <w:pPr>
        <w:ind w:left="0" w:right="0" w:firstLine="0"/>
        <w:jc w:val="center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pStyle w:val="1094"/>
        <w:numPr>
          <w:ilvl w:val="0"/>
          <w:numId w:val="56"/>
        </w:numPr>
        <w:ind w:left="0" w:right="0" w:firstLine="0"/>
        <w:jc w:val="both"/>
        <w:spacing w:before="0" w:after="0" w:afterAutospacing="0" w:line="17" w:lineRule="atLeast"/>
        <w:tabs>
          <w:tab w:val="left" w:pos="283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тов) и более, таким участником (Поставщиком) предоставляется обеспечение исполнения обязательств по Договору в следующем размере: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0" w:right="0" w:firstLine="709"/>
        <w:jc w:val="both"/>
        <w:spacing w:before="0"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94"/>
        <w:numPr>
          <w:ilvl w:val="1"/>
          <w:numId w:val="53"/>
        </w:numPr>
        <w:ind w:left="0" w:right="0" w:firstLine="0"/>
        <w:jc w:val="both"/>
        <w:spacing w:before="0" w:after="0" w:afterAutospacing="0" w:line="17" w:lineRule="atLeast"/>
        <w:tabs>
          <w:tab w:val="left" w:pos="283" w:leader="none"/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величен до 30% (тридцати)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94"/>
        <w:numPr>
          <w:ilvl w:val="1"/>
          <w:numId w:val="53"/>
        </w:numPr>
        <w:ind w:left="0" w:right="0" w:firstLine="0"/>
        <w:jc w:val="both"/>
        <w:spacing w:before="0"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94"/>
        <w:numPr>
          <w:ilvl w:val="1"/>
          <w:numId w:val="53"/>
        </w:numPr>
        <w:ind w:left="0" w:right="0" w:firstLine="0"/>
        <w:jc w:val="both"/>
        <w:spacing w:before="0"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лнения Договора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94"/>
        <w:numPr>
          <w:ilvl w:val="1"/>
          <w:numId w:val="53"/>
        </w:numPr>
        <w:ind w:left="0" w:right="0" w:firstLine="0"/>
        <w:jc w:val="both"/>
        <w:spacing w:before="0"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94"/>
        <w:numPr>
          <w:ilvl w:val="1"/>
          <w:numId w:val="53"/>
        </w:numPr>
        <w:ind w:left="0" w:right="0" w:firstLine="0"/>
        <w:jc w:val="both"/>
        <w:spacing w:before="0"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94"/>
        <w:numPr>
          <w:ilvl w:val="1"/>
          <w:numId w:val="53"/>
        </w:numPr>
        <w:ind w:left="0" w:right="0" w:firstLine="0"/>
        <w:jc w:val="both"/>
        <w:spacing w:before="0"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 и обеспечение на возврат авансовых платежей, то при аномально низком ценовом предл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ожении сумма обеспечения на исполнение обязательств по Договору увеличивается в 1,5 (полтора) раза от первоначально установленной, но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0" w:right="0" w:firstLine="709"/>
        <w:jc w:val="both"/>
        <w:spacing w:before="0"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Вариант 2 (для включения в договоры, заключаемые по результатам закупочных процедур, участниками которых могут быть только субъекты малого и среднего предпринимательства)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94"/>
        <w:numPr>
          <w:ilvl w:val="1"/>
          <w:numId w:val="54"/>
        </w:numPr>
        <w:ind w:left="0" w:right="0" w:firstLine="0"/>
        <w:jc w:val="both"/>
        <w:spacing w:before="0"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ие на исполнение обязательств по Договору в размере 3% (трех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94"/>
        <w:numPr>
          <w:ilvl w:val="1"/>
          <w:numId w:val="54"/>
        </w:numPr>
        <w:ind w:left="0" w:right="0" w:firstLine="0"/>
        <w:jc w:val="both"/>
        <w:spacing w:before="0"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94"/>
        <w:numPr>
          <w:ilvl w:val="1"/>
          <w:numId w:val="54"/>
        </w:numPr>
        <w:ind w:left="0" w:right="0" w:firstLine="0"/>
        <w:jc w:val="both"/>
        <w:spacing w:before="0"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сполнение обязательств по Договору в размере аванса. При этом отдельное обеспечение на возврат авансовых платежей не предоставляется.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94"/>
        <w:numPr>
          <w:ilvl w:val="1"/>
          <w:numId w:val="54"/>
        </w:numPr>
        <w:ind w:left="0" w:right="0" w:firstLine="0"/>
        <w:jc w:val="both"/>
        <w:spacing w:before="0"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низко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м ценовом предложении требуется предоставить обеспечение на исполнение обязательств по Договору в размере аванса.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94"/>
        <w:numPr>
          <w:ilvl w:val="1"/>
          <w:numId w:val="54"/>
        </w:numPr>
        <w:ind w:left="0" w:right="0" w:firstLine="0"/>
        <w:jc w:val="both"/>
        <w:spacing w:before="0"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94"/>
        <w:numPr>
          <w:ilvl w:val="1"/>
          <w:numId w:val="54"/>
        </w:numPr>
        <w:ind w:left="0" w:right="0" w:firstLine="0"/>
        <w:jc w:val="both"/>
        <w:spacing w:before="0"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й не предоставляется.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94"/>
        <w:numPr>
          <w:ilvl w:val="0"/>
          <w:numId w:val="54"/>
        </w:numPr>
        <w:ind w:left="0" w:right="0" w:firstLine="0"/>
        <w:jc w:val="both"/>
        <w:spacing w:before="0" w:after="0" w:afterAutospacing="0" w:line="17" w:lineRule="atLeast"/>
        <w:tabs>
          <w:tab w:val="left" w:pos="283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94"/>
        <w:numPr>
          <w:ilvl w:val="0"/>
          <w:numId w:val="54"/>
        </w:numPr>
        <w:ind w:left="0" w:right="0" w:firstLine="0"/>
        <w:jc w:val="both"/>
        <w:spacing w:before="0" w:after="0" w:afterAutospacing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Договора, предусмотренное в пункте 1, предоставляется до заключения Договора.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94"/>
        <w:numPr>
          <w:ilvl w:val="0"/>
          <w:numId w:val="54"/>
        </w:numPr>
        <w:ind w:left="0" w:right="0" w:firstLine="0"/>
        <w:jc w:val="both"/>
        <w:spacing w:before="0" w:after="0" w:afterAutospacing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вке товаров/ выполнению работ/ оказанию услуг в соответствии с условиями Договора в полном объеме.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94"/>
        <w:numPr>
          <w:ilvl w:val="0"/>
          <w:numId w:val="54"/>
        </w:numPr>
        <w:ind w:left="0" w:right="0" w:firstLine="0"/>
        <w:jc w:val="both"/>
        <w:spacing w:before="0" w:after="0" w:afterAutospacing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исполнения обязательств по Договору.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94"/>
        <w:numPr>
          <w:ilvl w:val="0"/>
          <w:numId w:val="54"/>
        </w:numPr>
        <w:ind w:left="0" w:right="0" w:firstLine="0"/>
        <w:jc w:val="both"/>
        <w:spacing w:before="0" w:after="0" w:afterAutospacing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перечисляются на расчетный счет Покупателя, указанный в извещ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94"/>
        <w:numPr>
          <w:ilvl w:val="0"/>
          <w:numId w:val="54"/>
        </w:numPr>
        <w:ind w:left="0" w:right="0" w:firstLine="0"/>
        <w:jc w:val="both"/>
        <w:spacing w:before="0" w:after="0" w:afterAutospacing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гарантам, установленным в извещении и/или документации о закупке.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94"/>
        <w:numPr>
          <w:ilvl w:val="0"/>
          <w:numId w:val="54"/>
        </w:numPr>
        <w:ind w:left="0" w:right="0" w:firstLine="0"/>
        <w:jc w:val="both"/>
        <w:spacing w:before="0" w:after="0" w:afterAutospacing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организационно-распорядительными документами Покупателя, регламентирующим порядо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к работы с обеспечением.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94"/>
        <w:numPr>
          <w:ilvl w:val="0"/>
          <w:numId w:val="54"/>
        </w:numPr>
        <w:ind w:left="0" w:right="0" w:firstLine="0"/>
        <w:jc w:val="both"/>
        <w:spacing w:before="0" w:after="0" w:afterAutospacing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94"/>
        <w:numPr>
          <w:ilvl w:val="0"/>
          <w:numId w:val="54"/>
        </w:numPr>
        <w:ind w:left="0" w:right="0" w:firstLine="0"/>
        <w:jc w:val="both"/>
        <w:spacing w:before="0" w:after="0" w:afterAutospacing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я предоставления обеспечения исполнения обязательств подлежат включению в приложение 4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ентами Покупателя.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>
        <w:tblPrEx/>
        <w:trPr>
          <w:trHeight w:val="1015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_____________________/ А.И. Таранков /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0" w:right="116" w:firstLine="0"/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0" w:right="4061" w:firstLine="0"/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_____________________/</w:t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____ /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395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762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«_____»_____________20___г.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«_____» _____________20___г.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</w:tr>
    </w:tbl>
    <w:p>
      <w:pPr>
        <w:ind w:firstLine="709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sectPr>
      <w:footnotePr/>
      <w:endnotePr/>
      <w:type w:val="nextPage"/>
      <w:pgSz w:w="11906" w:h="16838" w:orient="portrait"/>
      <w:pgMar w:top="709" w:right="992" w:bottom="567" w:left="993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00603000000000000"/>
  </w:font>
  <w:font w:name="Wingdings">
    <w:panose1 w:val="05000000000000000000"/>
  </w:font>
  <w:font w:name="Symbol">
    <w:panose1 w:val="05050102010706020507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Arial Narrow">
    <w:panose1 w:val="020B0606020202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105986287"/>
      <w:docPartObj>
        <w:docPartGallery w:val="Page Numbers (Bottom of Page)"/>
        <w:docPartUnique w:val="true"/>
      </w:docPartObj>
      <w:rPr/>
    </w:sdtPr>
    <w:sdtContent>
      <w:p>
        <w:pPr>
          <w:pStyle w:val="108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15</w:t>
        </w:r>
        <w:r>
          <w:fldChar w:fldCharType="end"/>
        </w:r>
        <w:r/>
      </w:p>
    </w:sdtContent>
  </w:sdt>
  <w:p>
    <w:pPr>
      <w:pStyle w:val="1089"/>
    </w:pPr>
    <w:r/>
    <w:r/>
  </w:p>
  <w:p>
    <w:pPr>
      <w:pStyle w:val="1089"/>
    </w:pPr>
    <w:r/>
    <w:r/>
  </w:p>
  <w:p>
    <w:pPr>
      <w:pStyle w:val="108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061"/>
        <w:jc w:val="both"/>
        <w:spacing w:before="0" w:after="0"/>
        <w:rPr>
          <w:i/>
        </w:rPr>
      </w:pPr>
      <w:r>
        <w:rPr>
          <w:rStyle w:val="1079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  <w:r>
        <w:rPr>
          <w:i/>
        </w:rPr>
      </w:r>
      <w:r>
        <w:rPr>
          <w:i/>
        </w:rPr>
      </w:r>
    </w:p>
  </w:footnote>
  <w:footnote w:id="3">
    <w:p>
      <w:pPr>
        <w:pStyle w:val="1117"/>
        <w:spacing w:before="0" w:after="0"/>
        <w:tabs>
          <w:tab w:val="left" w:pos="-142" w:leader="none"/>
        </w:tabs>
        <w:rPr>
          <w:i/>
        </w:rPr>
      </w:pPr>
      <w:r>
        <w:rPr>
          <w:rStyle w:val="1118"/>
        </w:rPr>
        <w:footnoteRef/>
      </w:r>
      <w:r>
        <w:rPr>
          <w:rStyle w:val="1118"/>
        </w:rPr>
        <w:t xml:space="preserve"> </w:t>
      </w:r>
      <w:r>
        <w:rPr>
          <w:i/>
        </w:rPr>
        <w:t xml:space="preserve">Включается, если договором предусмотрено обеспечение в форме независимой гарантии.</w:t>
      </w:r>
      <w:r>
        <w:rPr>
          <w:i/>
        </w:rPr>
      </w:r>
      <w:r>
        <w:rPr>
          <w:i/>
        </w:rPr>
      </w:r>
    </w:p>
  </w:footnote>
  <w:footnote w:id="4">
    <w:p>
      <w:pPr>
        <w:pStyle w:val="1061"/>
      </w:pPr>
      <w:r>
        <w:rPr>
          <w:rStyle w:val="1079"/>
        </w:rPr>
        <w:footnoteRef/>
      </w:r>
      <w:r>
        <w:t xml:space="preserve"> </w:t>
      </w:r>
      <w:r>
        <w:rPr>
          <w:i/>
        </w:rPr>
        <w:t xml:space="preserve">Включается в текст договора только в случае наличия в кон</w:t>
      </w:r>
      <w:r>
        <w:rPr>
          <w:i/>
        </w:rPr>
        <w:t xml:space="preserve">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  <w:r/>
    </w:p>
  </w:footnote>
  <w:footnote w:id="5">
    <w:p>
      <w:pPr>
        <w:pStyle w:val="1061"/>
      </w:pPr>
      <w:r>
        <w:rPr>
          <w:rStyle w:val="1079"/>
        </w:rPr>
        <w:footnoteRef/>
      </w:r>
      <w:r>
        <w:t xml:space="preserve"> </w:t>
      </w:r>
      <w:r>
        <w:rPr>
          <w:rFonts w:ascii="Times New Roman" w:hAnsi="Times New Roman" w:eastAsia="Times New Roman" w:cs="Times New Roman"/>
          <w:i/>
          <w:iCs/>
          <w:highlight w:val="white"/>
        </w:rPr>
        <w:t xml:space="preserve">Абзац не распространяется на обязательства по оплате субъектам малого и среднего предпринимательства.</w:t>
      </w:r>
      <w:r/>
    </w:p>
  </w:footnote>
  <w:footnote w:id="6">
    <w:p>
      <w:pPr>
        <w:pStyle w:val="1061"/>
      </w:pPr>
      <w:r>
        <w:rPr>
          <w:rStyle w:val="1079"/>
        </w:rPr>
        <w:footnoteRef/>
      </w:r>
      <w:r>
        <w:t xml:space="preserve"> </w:t>
      </w:r>
      <w:r>
        <w:rPr>
          <w:i/>
          <w:sz w:val="18"/>
          <w:szCs w:val="18"/>
        </w:rPr>
        <w:t xml:space="preserve">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  <w:r/>
    </w:p>
  </w:footnote>
  <w:footnote w:id="7">
    <w:p>
      <w:pPr>
        <w:pStyle w:val="1061"/>
      </w:pPr>
      <w:r>
        <w:rPr>
          <w:rStyle w:val="1079"/>
        </w:rPr>
        <w:footnoteRef/>
      </w:r>
      <w:r>
        <w:t xml:space="preserve"> </w:t>
      </w:r>
      <w:r>
        <w:rPr>
          <w:i/>
          <w:sz w:val="18"/>
          <w:szCs w:val="18"/>
        </w:rPr>
        <w:t xml:space="preserve"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</w:t>
      </w:r>
      <w:r>
        <w:rPr>
          <w:i/>
          <w:sz w:val="18"/>
          <w:szCs w:val="18"/>
        </w:rPr>
        <w:t xml:space="preserve"> ПАО «Россети» (Положение о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  <w:r/>
    </w:p>
  </w:footnote>
  <w:footnote w:id="8">
    <w:p>
      <w:pPr>
        <w:pStyle w:val="1061"/>
      </w:pPr>
      <w:r>
        <w:rPr>
          <w:rStyle w:val="1079"/>
        </w:rPr>
        <w:footnoteRef/>
      </w:r>
      <w:r>
        <w:t xml:space="preserve"> </w:t>
      </w:r>
      <w:r>
        <w:rPr>
          <w:bCs/>
          <w:i/>
        </w:rPr>
        <w:t xml:space="preserve"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 xml:space="preserve">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styleLink w:val="1080"/>
    <w:lvl w:ilvl="0">
      <w:start w:val="2"/>
      <w:numFmt w:val="decimal"/>
      <w:pStyle w:val="108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suff w:val="tab"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23" w:hanging="360"/>
        <w:tabs>
          <w:tab w:val="num" w:pos="7023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suff w:val="tab"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pStyle w:val="1075"/>
      <w:isLgl w:val="false"/>
      <w:suff w:val="tab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1076"/>
      <w:isLgl w:val="false"/>
      <w:suff w:val="tab"/>
      <w:lvlText w:val="%1.%2"/>
      <w:lvlJc w:val="left"/>
      <w:pPr>
        <w:ind w:left="2705" w:hanging="720"/>
      </w:pPr>
      <w:rPr>
        <w:rFonts w:hint="default" w:ascii="Times New Roman" w:hAnsi="Times New Roman" w:cs="Times New Roman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1077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6.2.1.%4"/>
      <w:lvlJc w:val="left"/>
      <w:pPr>
        <w:ind w:left="1222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582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1."/>
      <w:lvlJc w:val="left"/>
      <w:pPr>
        <w:ind w:left="360" w:hanging="360"/>
        <w:tabs>
          <w:tab w:val="num" w:pos="360" w:leader="none"/>
        </w:tabs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  <w:rPr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  <w:rPr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  <w:rPr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  <w:rPr>
        <w:b w:val="0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5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37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9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1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3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5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7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9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16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5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37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9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1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3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5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7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9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16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suff w:val="tab"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1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35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0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7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40" w:hanging="180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14" w:hanging="360"/>
      </w:pPr>
      <w:rPr>
        <w:rFonts w:hint="default" w:eastAsia="Times New Roman"/>
        <w:b/>
      </w:rPr>
    </w:lvl>
    <w:lvl w:ilvl="1">
      <w:start w:val="1"/>
      <w:numFmt w:val="decimal"/>
      <w:isLgl/>
      <w:suff w:val="tab"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suff w:val="tab"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suff w:val="tab"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2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suff w:val="tab"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suff w:val="tab"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7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suff w:val="tab"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  <w:tabs>
          <w:tab w:val="num" w:pos="720" w:leader="none"/>
        </w:tabs>
      </w:pPr>
      <w:rPr>
        <w:rFonts w:hint="default" w:ascii="Wingdings" w:hAnsi="Wingdings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3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>
    <w:multiLevelType w:val="hybridMultilevel"/>
    <w:styleLink w:val="1080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styleLink w:val="1080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43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1418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2138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3578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4298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738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6458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7178" w:hanging="180"/>
      </w:pPr>
    </w:lvl>
  </w:abstractNum>
  <w:abstractNum w:abstractNumId="48">
    <w:multiLevelType w:val="hybridMultilevel"/>
    <w:lvl w:ilvl="0">
      <w:start w:val="10"/>
      <w:numFmt w:val="decimal"/>
      <w:isLgl w:val="false"/>
      <w:suff w:val="tab"/>
      <w:lvlText w:val="%1."/>
      <w:lvlJc w:val="right"/>
      <w:pPr>
        <w:ind w:left="1418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2138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3578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4298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738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6458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7178" w:hanging="18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51">
    <w:multiLevelType w:val="hybridMultilevel"/>
    <w:lvl w:ilvl="0">
      <w:start w:val="2"/>
      <w:numFmt w:val="decimal"/>
      <w:isLgl w:val="false"/>
      <w:suff w:val="tab"/>
      <w:lvlText w:val="%1."/>
      <w:lvlJc w:val="right"/>
      <w:pPr>
        <w:ind w:left="1418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2138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3578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4298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738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6458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7178" w:hanging="180"/>
      </w:p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53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4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5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5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7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9"/>
  </w:num>
  <w:num w:numId="11">
    <w:abstractNumId w:val="5"/>
  </w:num>
  <w:num w:numId="12">
    <w:abstractNumId w:val="33"/>
  </w:num>
  <w:num w:numId="13">
    <w:abstractNumId w:val="17"/>
  </w:num>
  <w:num w:numId="14">
    <w:abstractNumId w:val="12"/>
  </w:num>
  <w:num w:numId="15">
    <w:abstractNumId w:val="3"/>
  </w:num>
  <w:num w:numId="16">
    <w:abstractNumId w:val="1"/>
  </w:num>
  <w:num w:numId="17">
    <w:abstractNumId w:val="24"/>
  </w:num>
  <w:num w:numId="18">
    <w:abstractNumId w:val="31"/>
  </w:num>
  <w:num w:numId="19">
    <w:abstractNumId w:val="7"/>
  </w:num>
  <w:num w:numId="20">
    <w:abstractNumId w:val="9"/>
  </w:num>
  <w:num w:numId="21">
    <w:abstractNumId w:val="11"/>
  </w:num>
  <w:num w:numId="22">
    <w:abstractNumId w:val="22"/>
  </w:num>
  <w:num w:numId="23">
    <w:abstractNumId w:val="15"/>
  </w:num>
  <w:num w:numId="24">
    <w:abstractNumId w:val="16"/>
  </w:num>
  <w:num w:numId="25">
    <w:abstractNumId w:val="18"/>
  </w:num>
  <w:num w:numId="26">
    <w:abstractNumId w:val="4"/>
  </w:num>
  <w:num w:numId="2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19"/>
  </w:num>
  <w:num w:numId="31">
    <w:abstractNumId w:val="10"/>
  </w:num>
  <w:num w:numId="32">
    <w:abstractNumId w:val="25"/>
  </w:num>
  <w:num w:numId="33">
    <w:abstractNumId w:val="20"/>
  </w:num>
  <w:num w:numId="34">
    <w:abstractNumId w:val="30"/>
  </w:num>
  <w:num w:numId="35">
    <w:abstractNumId w:val="26"/>
  </w:num>
  <w:num w:numId="36">
    <w:abstractNumId w:val="6"/>
  </w:num>
  <w:num w:numId="37">
    <w:abstractNumId w:val="28"/>
  </w:num>
  <w:num w:numId="38">
    <w:abstractNumId w:val="34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39">
    <w:abstractNumId w:val="35"/>
  </w:num>
  <w:num w:numId="40">
    <w:abstractNumId w:val="36"/>
  </w:num>
  <w:num w:numId="41">
    <w:abstractNumId w:val="37"/>
  </w:num>
  <w:num w:numId="42">
    <w:abstractNumId w:val="38"/>
  </w:num>
  <w:num w:numId="43">
    <w:abstractNumId w:val="39"/>
  </w:num>
  <w:num w:numId="44">
    <w:abstractNumId w:val="40"/>
  </w:num>
  <w:num w:numId="45">
    <w:abstractNumId w:val="41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46">
    <w:abstractNumId w:val="42"/>
  </w:num>
  <w:num w:numId="47">
    <w:abstractNumId w:val="43"/>
  </w:num>
  <w:num w:numId="48">
    <w:abstractNumId w:val="44"/>
  </w:num>
  <w:num w:numId="49">
    <w:abstractNumId w:val="45"/>
  </w:num>
  <w:num w:numId="50">
    <w:abstractNumId w:val="46"/>
  </w:num>
  <w:num w:numId="51">
    <w:abstractNumId w:val="47"/>
  </w:num>
  <w:num w:numId="52">
    <w:abstractNumId w:val="48"/>
  </w:num>
  <w:num w:numId="53">
    <w:abstractNumId w:val="49"/>
  </w:num>
  <w:num w:numId="54">
    <w:abstractNumId w:val="50"/>
  </w:num>
  <w:num w:numId="55">
    <w:abstractNumId w:val="51"/>
  </w:num>
  <w:num w:numId="56">
    <w:abstractNumId w:val="52"/>
  </w:num>
  <w:num w:numId="57">
    <w:abstractNumId w:val="53"/>
  </w:num>
  <w:num w:numId="58">
    <w:abstractNumId w:val="54"/>
  </w:num>
  <w:num w:numId="59">
    <w:abstractNumId w:val="55"/>
  </w:num>
  <w:num w:numId="60">
    <w:abstractNumId w:val="56"/>
  </w:num>
  <w:num w:numId="61">
    <w:abstractNumId w:val="57"/>
  </w:num>
  <w:num w:numId="62">
    <w:abstractNumId w:val="5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90">
    <w:name w:val="Heading 1 Char"/>
    <w:basedOn w:val="1058"/>
    <w:link w:val="1056"/>
    <w:uiPriority w:val="9"/>
    <w:rPr>
      <w:rFonts w:ascii="Arial" w:hAnsi="Arial" w:eastAsia="Arial" w:cs="Arial"/>
      <w:sz w:val="40"/>
      <w:szCs w:val="40"/>
    </w:rPr>
  </w:style>
  <w:style w:type="paragraph" w:styleId="891">
    <w:name w:val="Heading 2"/>
    <w:basedOn w:val="1055"/>
    <w:next w:val="1055"/>
    <w:link w:val="89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92">
    <w:name w:val="Heading 2 Char"/>
    <w:basedOn w:val="1058"/>
    <w:link w:val="891"/>
    <w:uiPriority w:val="9"/>
    <w:rPr>
      <w:rFonts w:ascii="Arial" w:hAnsi="Arial" w:eastAsia="Arial" w:cs="Arial"/>
      <w:sz w:val="34"/>
    </w:rPr>
  </w:style>
  <w:style w:type="character" w:styleId="893">
    <w:name w:val="Heading 3 Char"/>
    <w:basedOn w:val="1058"/>
    <w:link w:val="1057"/>
    <w:uiPriority w:val="9"/>
    <w:rPr>
      <w:rFonts w:ascii="Arial" w:hAnsi="Arial" w:eastAsia="Arial" w:cs="Arial"/>
      <w:sz w:val="30"/>
      <w:szCs w:val="30"/>
    </w:rPr>
  </w:style>
  <w:style w:type="paragraph" w:styleId="894">
    <w:name w:val="Heading 4"/>
    <w:basedOn w:val="1055"/>
    <w:next w:val="1055"/>
    <w:link w:val="89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95">
    <w:name w:val="Heading 4 Char"/>
    <w:basedOn w:val="1058"/>
    <w:link w:val="894"/>
    <w:uiPriority w:val="9"/>
    <w:rPr>
      <w:rFonts w:ascii="Arial" w:hAnsi="Arial" w:eastAsia="Arial" w:cs="Arial"/>
      <w:b/>
      <w:bCs/>
      <w:sz w:val="26"/>
      <w:szCs w:val="26"/>
    </w:rPr>
  </w:style>
  <w:style w:type="paragraph" w:styleId="896">
    <w:name w:val="Heading 5"/>
    <w:basedOn w:val="1055"/>
    <w:next w:val="1055"/>
    <w:link w:val="89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97">
    <w:name w:val="Heading 5 Char"/>
    <w:basedOn w:val="1058"/>
    <w:link w:val="896"/>
    <w:uiPriority w:val="9"/>
    <w:rPr>
      <w:rFonts w:ascii="Arial" w:hAnsi="Arial" w:eastAsia="Arial" w:cs="Arial"/>
      <w:b/>
      <w:bCs/>
      <w:sz w:val="24"/>
      <w:szCs w:val="24"/>
    </w:rPr>
  </w:style>
  <w:style w:type="paragraph" w:styleId="898">
    <w:name w:val="Heading 6"/>
    <w:basedOn w:val="1055"/>
    <w:next w:val="1055"/>
    <w:link w:val="89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99">
    <w:name w:val="Heading 6 Char"/>
    <w:basedOn w:val="1058"/>
    <w:link w:val="898"/>
    <w:uiPriority w:val="9"/>
    <w:rPr>
      <w:rFonts w:ascii="Arial" w:hAnsi="Arial" w:eastAsia="Arial" w:cs="Arial"/>
      <w:b/>
      <w:bCs/>
      <w:sz w:val="22"/>
      <w:szCs w:val="22"/>
    </w:rPr>
  </w:style>
  <w:style w:type="paragraph" w:styleId="900">
    <w:name w:val="Heading 7"/>
    <w:basedOn w:val="1055"/>
    <w:next w:val="1055"/>
    <w:link w:val="90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01">
    <w:name w:val="Heading 7 Char"/>
    <w:basedOn w:val="1058"/>
    <w:link w:val="9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02">
    <w:name w:val="Heading 8"/>
    <w:basedOn w:val="1055"/>
    <w:next w:val="1055"/>
    <w:link w:val="90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03">
    <w:name w:val="Heading 8 Char"/>
    <w:basedOn w:val="1058"/>
    <w:link w:val="902"/>
    <w:uiPriority w:val="9"/>
    <w:rPr>
      <w:rFonts w:ascii="Arial" w:hAnsi="Arial" w:eastAsia="Arial" w:cs="Arial"/>
      <w:i/>
      <w:iCs/>
      <w:sz w:val="22"/>
      <w:szCs w:val="22"/>
    </w:rPr>
  </w:style>
  <w:style w:type="paragraph" w:styleId="904">
    <w:name w:val="Heading 9"/>
    <w:basedOn w:val="1055"/>
    <w:next w:val="1055"/>
    <w:link w:val="90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05">
    <w:name w:val="Heading 9 Char"/>
    <w:basedOn w:val="1058"/>
    <w:link w:val="904"/>
    <w:uiPriority w:val="9"/>
    <w:rPr>
      <w:rFonts w:ascii="Arial" w:hAnsi="Arial" w:eastAsia="Arial" w:cs="Arial"/>
      <w:i/>
      <w:iCs/>
      <w:sz w:val="21"/>
      <w:szCs w:val="21"/>
    </w:rPr>
  </w:style>
  <w:style w:type="character" w:styleId="906">
    <w:name w:val="Title Char"/>
    <w:basedOn w:val="1058"/>
    <w:link w:val="1063"/>
    <w:uiPriority w:val="10"/>
    <w:rPr>
      <w:sz w:val="48"/>
      <w:szCs w:val="48"/>
    </w:rPr>
  </w:style>
  <w:style w:type="paragraph" w:styleId="907">
    <w:name w:val="Subtitle"/>
    <w:basedOn w:val="1055"/>
    <w:next w:val="1055"/>
    <w:link w:val="908"/>
    <w:uiPriority w:val="11"/>
    <w:qFormat/>
    <w:pPr>
      <w:spacing w:before="200" w:after="200"/>
    </w:pPr>
    <w:rPr>
      <w:sz w:val="24"/>
      <w:szCs w:val="24"/>
    </w:rPr>
  </w:style>
  <w:style w:type="character" w:styleId="908">
    <w:name w:val="Subtitle Char"/>
    <w:basedOn w:val="1058"/>
    <w:link w:val="907"/>
    <w:uiPriority w:val="11"/>
    <w:rPr>
      <w:sz w:val="24"/>
      <w:szCs w:val="24"/>
    </w:rPr>
  </w:style>
  <w:style w:type="paragraph" w:styleId="909">
    <w:name w:val="Quote"/>
    <w:basedOn w:val="1055"/>
    <w:next w:val="1055"/>
    <w:link w:val="910"/>
    <w:uiPriority w:val="29"/>
    <w:qFormat/>
    <w:pPr>
      <w:ind w:left="720" w:right="720"/>
    </w:pPr>
    <w:rPr>
      <w:i/>
    </w:rPr>
  </w:style>
  <w:style w:type="character" w:styleId="910">
    <w:name w:val="Quote Char"/>
    <w:link w:val="909"/>
    <w:uiPriority w:val="29"/>
    <w:rPr>
      <w:i/>
    </w:rPr>
  </w:style>
  <w:style w:type="paragraph" w:styleId="911">
    <w:name w:val="Intense Quote"/>
    <w:basedOn w:val="1055"/>
    <w:next w:val="1055"/>
    <w:link w:val="91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12">
    <w:name w:val="Intense Quote Char"/>
    <w:link w:val="911"/>
    <w:uiPriority w:val="30"/>
    <w:rPr>
      <w:i/>
    </w:rPr>
  </w:style>
  <w:style w:type="character" w:styleId="913">
    <w:name w:val="Header Char"/>
    <w:basedOn w:val="1058"/>
    <w:link w:val="1087"/>
    <w:uiPriority w:val="99"/>
  </w:style>
  <w:style w:type="character" w:styleId="914">
    <w:name w:val="Footer Char"/>
    <w:basedOn w:val="1058"/>
    <w:link w:val="1089"/>
    <w:uiPriority w:val="99"/>
  </w:style>
  <w:style w:type="paragraph" w:styleId="915">
    <w:name w:val="Caption"/>
    <w:basedOn w:val="1055"/>
    <w:next w:val="1055"/>
    <w:link w:val="91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16">
    <w:name w:val="Caption Char"/>
    <w:basedOn w:val="915"/>
    <w:link w:val="1089"/>
    <w:uiPriority w:val="99"/>
  </w:style>
  <w:style w:type="table" w:styleId="917">
    <w:name w:val="Table Grid Light"/>
    <w:basedOn w:val="105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18">
    <w:name w:val="Plain Table 1"/>
    <w:basedOn w:val="105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9">
    <w:name w:val="Plain Table 2"/>
    <w:basedOn w:val="105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20">
    <w:name w:val="Plain Table 3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21">
    <w:name w:val="Plain Table 4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Plain Table 5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23">
    <w:name w:val="Grid Table 1 Light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Grid Table 1 Light - Accent 1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Grid Table 1 Light - Accent 2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Grid Table 1 Light - Accent 3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Grid Table 1 Light - Accent 4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Grid Table 1 Light - Accent 5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Grid Table 1 Light - Accent 6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Grid Table 2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2 - Accent 1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2 - Accent 2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Grid Table 2 - Accent 3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Grid Table 2 - Accent 4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Grid Table 2 - Accent 5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Grid Table 2 - Accent 6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Grid Table 3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Grid Table 3 - Accent 1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>
    <w:name w:val="Grid Table 3 - Accent 2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>
    <w:name w:val="Grid Table 3 - Accent 3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>
    <w:name w:val="Grid Table 3 - Accent 4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>
    <w:name w:val="Grid Table 3 - Accent 5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>
    <w:name w:val="Grid Table 3 - Accent 6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>
    <w:name w:val="Grid Table 4"/>
    <w:basedOn w:val="10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45">
    <w:name w:val="Grid Table 4 - Accent 1"/>
    <w:basedOn w:val="10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46">
    <w:name w:val="Grid Table 4 - Accent 2"/>
    <w:basedOn w:val="10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47">
    <w:name w:val="Grid Table 4 - Accent 3"/>
    <w:basedOn w:val="10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48">
    <w:name w:val="Grid Table 4 - Accent 4"/>
    <w:basedOn w:val="10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49">
    <w:name w:val="Grid Table 4 - Accent 5"/>
    <w:basedOn w:val="10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50">
    <w:name w:val="Grid Table 4 - Accent 6"/>
    <w:basedOn w:val="10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51">
    <w:name w:val="Grid Table 5 Dark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52">
    <w:name w:val="Grid Table 5 Dark- Accent 1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53">
    <w:name w:val="Grid Table 5 Dark - Accent 2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54">
    <w:name w:val="Grid Table 5 Dark - Accent 3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55">
    <w:name w:val="Grid Table 5 Dark- Accent 4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56">
    <w:name w:val="Grid Table 5 Dark - Accent 5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57">
    <w:name w:val="Grid Table 5 Dark - Accent 6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58">
    <w:name w:val="Grid Table 6 Colorful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59">
    <w:name w:val="Grid Table 6 Colorful - Accent 1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60">
    <w:name w:val="Grid Table 6 Colorful - Accent 2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61">
    <w:name w:val="Grid Table 6 Colorful - Accent 3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62">
    <w:name w:val="Grid Table 6 Colorful - Accent 4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63">
    <w:name w:val="Grid Table 6 Colorful - Accent 5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4">
    <w:name w:val="Grid Table 6 Colorful - Accent 6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5">
    <w:name w:val="Grid Table 7 Colorful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Grid Table 7 Colorful - Accent 1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Grid Table 7 Colorful - Accent 2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>
    <w:name w:val="Grid Table 7 Colorful - Accent 3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>
    <w:name w:val="Grid Table 7 Colorful - Accent 4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>
    <w:name w:val="Grid Table 7 Colorful - Accent 5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>
    <w:name w:val="Grid Table 7 Colorful - Accent 6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>
    <w:name w:val="List Table 1 Light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>
    <w:name w:val="List Table 1 Light - Accent 1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>
    <w:name w:val="List Table 1 Light - Accent 2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>
    <w:name w:val="List Table 1 Light - Accent 3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>
    <w:name w:val="List Table 1 Light - Accent 4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>
    <w:name w:val="List Table 1 Light - Accent 5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>
    <w:name w:val="List Table 1 Light - Accent 6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>
    <w:name w:val="List Table 2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80">
    <w:name w:val="List Table 2 - Accent 1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81">
    <w:name w:val="List Table 2 - Accent 2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82">
    <w:name w:val="List Table 2 - Accent 3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83">
    <w:name w:val="List Table 2 - Accent 4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84">
    <w:name w:val="List Table 2 - Accent 5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85">
    <w:name w:val="List Table 2 - Accent 6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86">
    <w:name w:val="List Table 3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>
    <w:name w:val="List Table 3 - Accent 1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>
    <w:name w:val="List Table 3 - Accent 2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9">
    <w:name w:val="List Table 3 - Accent 3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0">
    <w:name w:val="List Table 3 - Accent 4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1">
    <w:name w:val="List Table 3 - Accent 5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2">
    <w:name w:val="List Table 3 - Accent 6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3">
    <w:name w:val="List Table 4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4">
    <w:name w:val="List Table 4 - Accent 1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5">
    <w:name w:val="List Table 4 - Accent 2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6">
    <w:name w:val="List Table 4 - Accent 3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7">
    <w:name w:val="List Table 4 - Accent 4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8">
    <w:name w:val="List Table 4 - Accent 5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9">
    <w:name w:val="List Table 4 - Accent 6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0">
    <w:name w:val="List Table 5 Dark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1">
    <w:name w:val="List Table 5 Dark - Accent 1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2">
    <w:name w:val="List Table 5 Dark - Accent 2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3">
    <w:name w:val="List Table 5 Dark - Accent 3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4">
    <w:name w:val="List Table 5 Dark - Accent 4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5">
    <w:name w:val="List Table 5 Dark - Accent 5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6">
    <w:name w:val="List Table 5 Dark - Accent 6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7">
    <w:name w:val="List Table 6 Colorful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08">
    <w:name w:val="List Table 6 Colorful - Accent 1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09">
    <w:name w:val="List Table 6 Colorful - Accent 2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10">
    <w:name w:val="List Table 6 Colorful - Accent 3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11">
    <w:name w:val="List Table 6 Colorful - Accent 4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12">
    <w:name w:val="List Table 6 Colorful - Accent 5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13">
    <w:name w:val="List Table 6 Colorful - Accent 6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14">
    <w:name w:val="List Table 7 Colorful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15">
    <w:name w:val="List Table 7 Colorful - Accent 1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16">
    <w:name w:val="List Table 7 Colorful - Accent 2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17">
    <w:name w:val="List Table 7 Colorful - Accent 3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18">
    <w:name w:val="List Table 7 Colorful - Accent 4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19">
    <w:name w:val="List Table 7 Colorful - Accent 5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20">
    <w:name w:val="List Table 7 Colorful - Accent 6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21">
    <w:name w:val="Lined - Accent"/>
    <w:basedOn w:val="10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22">
    <w:name w:val="Lined - Accent 1"/>
    <w:basedOn w:val="10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23">
    <w:name w:val="Lined - Accent 2"/>
    <w:basedOn w:val="10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24">
    <w:name w:val="Lined - Accent 3"/>
    <w:basedOn w:val="10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25">
    <w:name w:val="Lined - Accent 4"/>
    <w:basedOn w:val="10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26">
    <w:name w:val="Lined - Accent 5"/>
    <w:basedOn w:val="10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27">
    <w:name w:val="Lined - Accent 6"/>
    <w:basedOn w:val="10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28">
    <w:name w:val="Bordered &amp; Lined - Accent"/>
    <w:basedOn w:val="10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29">
    <w:name w:val="Bordered &amp; Lined - Accent 1"/>
    <w:basedOn w:val="10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30">
    <w:name w:val="Bordered &amp; Lined - Accent 2"/>
    <w:basedOn w:val="10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31">
    <w:name w:val="Bordered &amp; Lined - Accent 3"/>
    <w:basedOn w:val="10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32">
    <w:name w:val="Bordered &amp; Lined - Accent 4"/>
    <w:basedOn w:val="10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33">
    <w:name w:val="Bordered &amp; Lined - Accent 5"/>
    <w:basedOn w:val="10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34">
    <w:name w:val="Bordered &amp; Lined - Accent 6"/>
    <w:basedOn w:val="10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35">
    <w:name w:val="Bordered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36">
    <w:name w:val="Bordered - Accent 1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37">
    <w:name w:val="Bordered - Accent 2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38">
    <w:name w:val="Bordered - Accent 3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39">
    <w:name w:val="Bordered - Accent 4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40">
    <w:name w:val="Bordered - Accent 5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41">
    <w:name w:val="Bordered - Accent 6"/>
    <w:basedOn w:val="10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42">
    <w:name w:val="Footnote Text Char"/>
    <w:link w:val="1061"/>
    <w:uiPriority w:val="99"/>
    <w:rPr>
      <w:sz w:val="18"/>
    </w:rPr>
  </w:style>
  <w:style w:type="character" w:styleId="1043">
    <w:name w:val="Endnote Text Char"/>
    <w:link w:val="1111"/>
    <w:uiPriority w:val="99"/>
    <w:rPr>
      <w:sz w:val="20"/>
    </w:rPr>
  </w:style>
  <w:style w:type="paragraph" w:styleId="1044">
    <w:name w:val="toc 1"/>
    <w:basedOn w:val="1055"/>
    <w:next w:val="1055"/>
    <w:uiPriority w:val="39"/>
    <w:unhideWhenUsed/>
    <w:pPr>
      <w:ind w:left="0" w:right="0" w:firstLine="0"/>
      <w:spacing w:after="57"/>
    </w:pPr>
  </w:style>
  <w:style w:type="paragraph" w:styleId="1045">
    <w:name w:val="toc 2"/>
    <w:basedOn w:val="1055"/>
    <w:next w:val="1055"/>
    <w:uiPriority w:val="39"/>
    <w:unhideWhenUsed/>
    <w:pPr>
      <w:ind w:left="283" w:right="0" w:firstLine="0"/>
      <w:spacing w:after="57"/>
    </w:pPr>
  </w:style>
  <w:style w:type="paragraph" w:styleId="1046">
    <w:name w:val="toc 3"/>
    <w:basedOn w:val="1055"/>
    <w:next w:val="1055"/>
    <w:uiPriority w:val="39"/>
    <w:unhideWhenUsed/>
    <w:pPr>
      <w:ind w:left="567" w:right="0" w:firstLine="0"/>
      <w:spacing w:after="57"/>
    </w:pPr>
  </w:style>
  <w:style w:type="paragraph" w:styleId="1047">
    <w:name w:val="toc 4"/>
    <w:basedOn w:val="1055"/>
    <w:next w:val="1055"/>
    <w:uiPriority w:val="39"/>
    <w:unhideWhenUsed/>
    <w:pPr>
      <w:ind w:left="850" w:right="0" w:firstLine="0"/>
      <w:spacing w:after="57"/>
    </w:pPr>
  </w:style>
  <w:style w:type="paragraph" w:styleId="1048">
    <w:name w:val="toc 5"/>
    <w:basedOn w:val="1055"/>
    <w:next w:val="1055"/>
    <w:uiPriority w:val="39"/>
    <w:unhideWhenUsed/>
    <w:pPr>
      <w:ind w:left="1134" w:right="0" w:firstLine="0"/>
      <w:spacing w:after="57"/>
    </w:pPr>
  </w:style>
  <w:style w:type="paragraph" w:styleId="1049">
    <w:name w:val="toc 6"/>
    <w:basedOn w:val="1055"/>
    <w:next w:val="1055"/>
    <w:uiPriority w:val="39"/>
    <w:unhideWhenUsed/>
    <w:pPr>
      <w:ind w:left="1417" w:right="0" w:firstLine="0"/>
      <w:spacing w:after="57"/>
    </w:pPr>
  </w:style>
  <w:style w:type="paragraph" w:styleId="1050">
    <w:name w:val="toc 7"/>
    <w:basedOn w:val="1055"/>
    <w:next w:val="1055"/>
    <w:uiPriority w:val="39"/>
    <w:unhideWhenUsed/>
    <w:pPr>
      <w:ind w:left="1701" w:right="0" w:firstLine="0"/>
      <w:spacing w:after="57"/>
    </w:pPr>
  </w:style>
  <w:style w:type="paragraph" w:styleId="1051">
    <w:name w:val="toc 8"/>
    <w:basedOn w:val="1055"/>
    <w:next w:val="1055"/>
    <w:uiPriority w:val="39"/>
    <w:unhideWhenUsed/>
    <w:pPr>
      <w:ind w:left="1984" w:right="0" w:firstLine="0"/>
      <w:spacing w:after="57"/>
    </w:pPr>
  </w:style>
  <w:style w:type="paragraph" w:styleId="1052">
    <w:name w:val="toc 9"/>
    <w:basedOn w:val="1055"/>
    <w:next w:val="1055"/>
    <w:uiPriority w:val="39"/>
    <w:unhideWhenUsed/>
    <w:pPr>
      <w:ind w:left="2268" w:right="0" w:firstLine="0"/>
      <w:spacing w:after="57"/>
    </w:pPr>
  </w:style>
  <w:style w:type="paragraph" w:styleId="1053">
    <w:name w:val="TOC Heading"/>
    <w:uiPriority w:val="39"/>
    <w:unhideWhenUsed/>
  </w:style>
  <w:style w:type="paragraph" w:styleId="1054">
    <w:name w:val="table of figures"/>
    <w:basedOn w:val="1055"/>
    <w:next w:val="1055"/>
    <w:uiPriority w:val="99"/>
    <w:unhideWhenUsed/>
    <w:pPr>
      <w:spacing w:after="0" w:afterAutospacing="0"/>
    </w:pPr>
  </w:style>
  <w:style w:type="paragraph" w:styleId="1055" w:default="1">
    <w:name w:val="Normal"/>
    <w:qFormat/>
  </w:style>
  <w:style w:type="paragraph" w:styleId="1056">
    <w:name w:val="Heading 1"/>
    <w:basedOn w:val="1055"/>
    <w:next w:val="1055"/>
    <w:link w:val="1081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1057">
    <w:name w:val="Heading 3"/>
    <w:basedOn w:val="1055"/>
    <w:next w:val="1055"/>
    <w:link w:val="1082"/>
    <w:uiPriority w:val="9"/>
    <w:semiHidden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1058" w:default="1">
    <w:name w:val="Default Paragraph Font"/>
    <w:uiPriority w:val="1"/>
    <w:unhideWhenUsed/>
  </w:style>
  <w:style w:type="table" w:styleId="105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60" w:default="1">
    <w:name w:val="No List"/>
    <w:uiPriority w:val="99"/>
    <w:semiHidden/>
    <w:unhideWhenUsed/>
  </w:style>
  <w:style w:type="paragraph" w:styleId="1061">
    <w:name w:val="footnote text"/>
    <w:basedOn w:val="1055"/>
    <w:link w:val="1062"/>
    <w:uiPriority w:val="99"/>
    <w:semiHidden/>
    <w:unhideWhenUsed/>
    <w:pPr>
      <w:spacing w:before="120" w:after="12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62" w:customStyle="1">
    <w:name w:val="Текст сноски Знак"/>
    <w:basedOn w:val="1058"/>
    <w:link w:val="1061"/>
    <w:uiPriority w:val="99"/>
    <w:semiHidden/>
    <w:rPr>
      <w:rFonts w:ascii="Times New Roman" w:hAnsi="Times New Roman" w:eastAsia="Times New Roman" w:cs="Times New Roman"/>
      <w:sz w:val="20"/>
      <w:szCs w:val="20"/>
    </w:rPr>
  </w:style>
  <w:style w:type="paragraph" w:styleId="1063">
    <w:name w:val="Title"/>
    <w:basedOn w:val="1055"/>
    <w:link w:val="1064"/>
    <w:qFormat/>
    <w:pPr>
      <w:ind w:right="-1050"/>
      <w:jc w:val="center"/>
      <w:spacing w:before="120"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064" w:customStyle="1">
    <w:name w:val="Заголовок Знак"/>
    <w:basedOn w:val="1058"/>
    <w:link w:val="1063"/>
    <w:rPr>
      <w:rFonts w:ascii="Times New Roman" w:hAnsi="Times New Roman" w:eastAsia="Times New Roman" w:cs="Times New Roman"/>
      <w:sz w:val="24"/>
      <w:szCs w:val="24"/>
    </w:rPr>
  </w:style>
  <w:style w:type="character" w:styleId="1065" w:customStyle="1">
    <w:name w:val="Основной текст Знак"/>
    <w:basedOn w:val="1058"/>
    <w:link w:val="1066"/>
    <w:rPr>
      <w:rFonts w:ascii="Times New Roman" w:hAnsi="Times New Roman" w:eastAsia="Times New Roman" w:cs="Times New Roman"/>
      <w:sz w:val="28"/>
      <w:szCs w:val="28"/>
    </w:rPr>
  </w:style>
  <w:style w:type="paragraph" w:styleId="1066">
    <w:name w:val="Body Text"/>
    <w:basedOn w:val="1055"/>
    <w:link w:val="1065"/>
    <w:unhideWhenUsed/>
    <w:pPr>
      <w:ind w:firstLine="567"/>
      <w:jc w:val="both"/>
      <w:spacing w:before="120" w:after="120" w:line="36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1067" w:customStyle="1">
    <w:name w:val="Основной текст Знак1"/>
    <w:basedOn w:val="1058"/>
    <w:uiPriority w:val="99"/>
    <w:semiHidden/>
  </w:style>
  <w:style w:type="paragraph" w:styleId="1068">
    <w:name w:val="Body Text Indent"/>
    <w:basedOn w:val="1055"/>
    <w:link w:val="1069"/>
    <w:uiPriority w:val="99"/>
    <w:unhideWhenUsed/>
    <w:pPr>
      <w:ind w:left="283"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069" w:customStyle="1">
    <w:name w:val="Основной текст с отступом Знак"/>
    <w:basedOn w:val="1058"/>
    <w:link w:val="1068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1070">
    <w:name w:val="Body Text 2"/>
    <w:basedOn w:val="1055"/>
    <w:link w:val="1071"/>
    <w:unhideWhenUsed/>
    <w:pPr>
      <w:ind w:firstLine="567"/>
      <w:jc w:val="both"/>
      <w:spacing w:before="120" w:after="120" w:line="48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1071" w:customStyle="1">
    <w:name w:val="Основной текст 2 Знак"/>
    <w:basedOn w:val="1058"/>
    <w:link w:val="1070"/>
    <w:rPr>
      <w:rFonts w:ascii="Times New Roman" w:hAnsi="Times New Roman" w:eastAsia="Times New Roman" w:cs="Times New Roman"/>
      <w:sz w:val="28"/>
      <w:szCs w:val="28"/>
    </w:rPr>
  </w:style>
  <w:style w:type="paragraph" w:styleId="1072">
    <w:name w:val="Body Text 3"/>
    <w:basedOn w:val="1055"/>
    <w:link w:val="1073"/>
    <w:uiPriority w:val="99"/>
    <w:semiHidden/>
    <w:unhideWhenUsed/>
    <w:pPr>
      <w:ind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16"/>
      <w:szCs w:val="16"/>
    </w:rPr>
  </w:style>
  <w:style w:type="character" w:styleId="1073" w:customStyle="1">
    <w:name w:val="Основной текст 3 Знак"/>
    <w:basedOn w:val="1058"/>
    <w:link w:val="1072"/>
    <w:uiPriority w:val="99"/>
    <w:semiHidden/>
    <w:rPr>
      <w:rFonts w:ascii="Times New Roman" w:hAnsi="Times New Roman" w:eastAsia="Times New Roman" w:cs="Times New Roman"/>
      <w:sz w:val="16"/>
      <w:szCs w:val="16"/>
    </w:rPr>
  </w:style>
  <w:style w:type="paragraph" w:styleId="1074">
    <w:name w:val="No Spacing"/>
    <w:link w:val="1085"/>
    <w:uiPriority w:val="1"/>
    <w:qFormat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075" w:customStyle="1">
    <w:name w:val="МРСК_заголовок_1"/>
    <w:basedOn w:val="1056"/>
    <w:pPr>
      <w:numPr>
        <w:ilvl w:val="0"/>
        <w:numId w:val="1"/>
      </w:numPr>
      <w:jc w:val="both"/>
      <w:keepLines w:val="0"/>
      <w:spacing w:before="240" w:after="60" w:line="300" w:lineRule="auto"/>
      <w:shd w:val="clear" w:color="auto" w:fill="d9d9d9"/>
    </w:pPr>
    <w:rPr>
      <w:rFonts w:ascii="Times New Roman" w:hAnsi="Times New Roman" w:eastAsia="Times New Roman" w:cs="Arial"/>
      <w:caps/>
      <w:color w:val="auto"/>
    </w:rPr>
  </w:style>
  <w:style w:type="paragraph" w:styleId="1076" w:customStyle="1">
    <w:name w:val="МРСК_заголовок_2"/>
    <w:basedOn w:val="1055"/>
    <w:pPr>
      <w:numPr>
        <w:ilvl w:val="1"/>
        <w:numId w:val="1"/>
      </w:numPr>
      <w:contextualSpacing/>
      <w:keepNext/>
      <w:spacing w:before="240" w:after="60" w:line="240" w:lineRule="auto"/>
      <w:widowControl w:val="off"/>
      <w:suppressLineNumbers/>
    </w:pPr>
    <w:rPr>
      <w:rFonts w:ascii="Times New Roman" w:hAnsi="Times New Roman" w:eastAsia="Times New Roman" w:cs="Times New Roman"/>
      <w:b/>
      <w:caps/>
      <w:sz w:val="26"/>
      <w:szCs w:val="24"/>
    </w:rPr>
  </w:style>
  <w:style w:type="paragraph" w:styleId="1077" w:customStyle="1">
    <w:name w:val="МРСК_заголовок_3"/>
    <w:basedOn w:val="1057"/>
    <w:qFormat/>
    <w:pPr>
      <w:numPr>
        <w:ilvl w:val="2"/>
        <w:numId w:val="1"/>
      </w:numPr>
      <w:jc w:val="both"/>
      <w:keepLines w:val="0"/>
      <w:spacing w:before="240" w:after="60" w:line="300" w:lineRule="auto"/>
    </w:pPr>
    <w:rPr>
      <w:rFonts w:ascii="Times New Roman" w:hAnsi="Times New Roman" w:eastAsia="Times New Roman" w:cs="Times New Roman"/>
      <w:color w:val="auto"/>
      <w:sz w:val="24"/>
      <w:szCs w:val="26"/>
    </w:rPr>
  </w:style>
  <w:style w:type="paragraph" w:styleId="1078" w:customStyle="1">
    <w:name w:val="Обычный2"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79">
    <w:name w:val="footnote reference"/>
    <w:uiPriority w:val="99"/>
    <w:semiHidden/>
    <w:unhideWhenUsed/>
    <w:rPr>
      <w:rFonts w:hint="default" w:ascii="Times New Roman" w:hAnsi="Times New Roman" w:cs="Times New Roman"/>
      <w:vertAlign w:val="superscript"/>
    </w:rPr>
  </w:style>
  <w:style w:type="numbering" w:styleId="1080" w:customStyle="1">
    <w:name w:val="Стиль22"/>
    <w:pPr>
      <w:numPr>
        <w:ilvl w:val="0"/>
        <w:numId w:val="5"/>
      </w:numPr>
    </w:pPr>
  </w:style>
  <w:style w:type="character" w:styleId="1081" w:customStyle="1">
    <w:name w:val="Заголовок 1 Знак"/>
    <w:basedOn w:val="1058"/>
    <w:link w:val="1056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1082" w:customStyle="1">
    <w:name w:val="Заголовок 3 Знак"/>
    <w:basedOn w:val="1058"/>
    <w:link w:val="1057"/>
    <w:uiPriority w:val="9"/>
    <w:semiHidden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1083">
    <w:name w:val="Hyperlink"/>
    <w:basedOn w:val="1058"/>
    <w:uiPriority w:val="99"/>
    <w:unhideWhenUsed/>
    <w:rPr>
      <w:color w:val="0000ff" w:themeColor="hyperlink"/>
      <w:u w:val="single"/>
    </w:rPr>
  </w:style>
  <w:style w:type="paragraph" w:styleId="1084" w:customStyle="1">
    <w:name w:val="ConsPlusNonformat"/>
    <w:uiPriority w:val="99"/>
    <w:pPr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character" w:styleId="1085" w:customStyle="1">
    <w:name w:val="Без интервала Знак"/>
    <w:link w:val="1074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86" w:customStyle="1">
    <w:name w:val="МРСК_таблица_текст"/>
    <w:basedOn w:val="1055"/>
    <w:pPr>
      <w:jc w:val="both"/>
      <w:keepNext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1087">
    <w:name w:val="Header"/>
    <w:basedOn w:val="1055"/>
    <w:link w:val="108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88" w:customStyle="1">
    <w:name w:val="Верхний колонтитул Знак"/>
    <w:basedOn w:val="1058"/>
    <w:link w:val="1087"/>
    <w:uiPriority w:val="99"/>
  </w:style>
  <w:style w:type="paragraph" w:styleId="1089">
    <w:name w:val="Footer"/>
    <w:basedOn w:val="1055"/>
    <w:link w:val="109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90" w:customStyle="1">
    <w:name w:val="Нижний колонтитул Знак"/>
    <w:basedOn w:val="1058"/>
    <w:link w:val="1089"/>
    <w:uiPriority w:val="99"/>
  </w:style>
  <w:style w:type="character" w:styleId="1091" w:customStyle="1">
    <w:name w:val="apple-converted-space"/>
    <w:basedOn w:val="1058"/>
  </w:style>
  <w:style w:type="paragraph" w:styleId="1092">
    <w:name w:val="Normal (Web)"/>
    <w:basedOn w:val="1055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1093">
    <w:name w:val="Table Grid"/>
    <w:basedOn w:val="105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94">
    <w:name w:val="List Paragraph"/>
    <w:basedOn w:val="1055"/>
    <w:uiPriority w:val="34"/>
    <w:qFormat/>
    <w:pPr>
      <w:contextualSpacing/>
      <w:ind w:left="720"/>
    </w:pPr>
  </w:style>
  <w:style w:type="paragraph" w:styleId="1095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1096" w:customStyle="1">
    <w:name w:val="Font Style14"/>
    <w:basedOn w:val="1058"/>
    <w:uiPriority w:val="99"/>
    <w:rPr>
      <w:rFonts w:ascii="Arial" w:hAnsi="Arial" w:cs="Arial"/>
      <w:b/>
      <w:bCs/>
      <w:sz w:val="18"/>
      <w:szCs w:val="18"/>
    </w:rPr>
  </w:style>
  <w:style w:type="character" w:styleId="1097" w:customStyle="1">
    <w:name w:val="js-phone-number"/>
    <w:basedOn w:val="1058"/>
  </w:style>
  <w:style w:type="paragraph" w:styleId="1098">
    <w:name w:val="Balloon Text"/>
    <w:basedOn w:val="1055"/>
    <w:link w:val="109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1099" w:customStyle="1">
    <w:name w:val="Текст выноски Знак"/>
    <w:basedOn w:val="1058"/>
    <w:link w:val="1098"/>
    <w:uiPriority w:val="99"/>
    <w:semiHidden/>
    <w:rPr>
      <w:rFonts w:ascii="Tahoma" w:hAnsi="Tahoma" w:cs="Tahoma"/>
      <w:sz w:val="16"/>
      <w:szCs w:val="16"/>
    </w:rPr>
  </w:style>
  <w:style w:type="numbering" w:styleId="1100" w:customStyle="1">
    <w:name w:val="Нет списка1"/>
    <w:next w:val="1060"/>
    <w:uiPriority w:val="99"/>
    <w:semiHidden/>
    <w:unhideWhenUsed/>
  </w:style>
  <w:style w:type="numbering" w:styleId="1101" w:customStyle="1">
    <w:name w:val="Нет списка2"/>
    <w:next w:val="1060"/>
    <w:uiPriority w:val="99"/>
    <w:semiHidden/>
    <w:unhideWhenUsed/>
  </w:style>
  <w:style w:type="numbering" w:styleId="1102" w:customStyle="1">
    <w:name w:val="Нет списка11"/>
    <w:next w:val="1060"/>
    <w:uiPriority w:val="99"/>
    <w:semiHidden/>
    <w:unhideWhenUsed/>
  </w:style>
  <w:style w:type="character" w:styleId="1103" w:customStyle="1">
    <w:name w:val="property_name"/>
    <w:basedOn w:val="1058"/>
  </w:style>
  <w:style w:type="character" w:styleId="1104" w:customStyle="1">
    <w:name w:val="n-product-spec__name-inner"/>
    <w:basedOn w:val="1058"/>
  </w:style>
  <w:style w:type="character" w:styleId="1105">
    <w:name w:val="Strong"/>
    <w:basedOn w:val="1058"/>
    <w:uiPriority w:val="22"/>
    <w:qFormat/>
    <w:rPr>
      <w:b/>
      <w:bCs/>
    </w:rPr>
  </w:style>
  <w:style w:type="character" w:styleId="1106" w:customStyle="1">
    <w:name w:val="Основной текст (2)_"/>
    <w:basedOn w:val="1058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1107" w:customStyle="1">
    <w:name w:val="Основной текст (2)"/>
    <w:basedOn w:val="1106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108" w:customStyle="1">
    <w:name w:val="Основной текст (2) + Полужирный"/>
    <w:basedOn w:val="1106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109" w:customStyle="1">
    <w:name w:val="Основной текст (2) + Arial Narrow;9;5 pt"/>
    <w:basedOn w:val="1106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1110" w:customStyle="1">
    <w:name w:val="Основной текст (2) + Arial Narrow;15 pt"/>
    <w:basedOn w:val="1106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1111">
    <w:name w:val="endnote text"/>
    <w:basedOn w:val="1055"/>
    <w:link w:val="111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1112" w:customStyle="1">
    <w:name w:val="Текст концевой сноски Знак"/>
    <w:basedOn w:val="1058"/>
    <w:link w:val="1111"/>
    <w:uiPriority w:val="99"/>
    <w:semiHidden/>
    <w:rPr>
      <w:sz w:val="20"/>
      <w:szCs w:val="20"/>
    </w:rPr>
  </w:style>
  <w:style w:type="character" w:styleId="1113">
    <w:name w:val="endnote reference"/>
    <w:basedOn w:val="1058"/>
    <w:uiPriority w:val="99"/>
    <w:semiHidden/>
    <w:unhideWhenUsed/>
    <w:rPr>
      <w:vertAlign w:val="superscript"/>
    </w:rPr>
  </w:style>
  <w:style w:type="paragraph" w:styleId="1114">
    <w:name w:val="Body Text Indent 2"/>
    <w:basedOn w:val="1055"/>
    <w:link w:val="1115"/>
    <w:uiPriority w:val="99"/>
    <w:semiHidden/>
    <w:unhideWhenUsed/>
    <w:pPr>
      <w:ind w:left="283"/>
      <w:spacing w:after="120" w:line="480" w:lineRule="auto"/>
    </w:pPr>
  </w:style>
  <w:style w:type="character" w:styleId="1115" w:customStyle="1">
    <w:name w:val="Основной текст с отступом 2 Знак"/>
    <w:basedOn w:val="1058"/>
    <w:link w:val="1114"/>
    <w:uiPriority w:val="99"/>
    <w:semiHidden/>
  </w:style>
  <w:style w:type="paragraph" w:styleId="1116" w:customStyle="1">
    <w:name w:val="Без интервала"/>
    <w:uiPriority w:val="1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17" w:customStyle="1">
    <w:name w:val="Текст сноски"/>
    <w:uiPriority w:val="99"/>
    <w:pPr>
      <w:contextualSpacing w:val="0"/>
      <w:ind w:left="0" w:right="0" w:firstLine="0"/>
      <w:jc w:val="left"/>
      <w:keepLines w:val="0"/>
      <w:keepNext w:val="0"/>
      <w:pageBreakBefore w:val="0"/>
      <w:spacing w:before="12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118" w:customStyle="1">
    <w:name w:val="Знак сноски"/>
    <w:uiPriority w:val="99"/>
    <w:rPr>
      <w:rFonts w:cs="Times New Roman"/>
      <w:vertAlign w:val="superscript"/>
    </w:rPr>
  </w:style>
  <w:style w:type="paragraph" w:styleId="1119" w:customStyle="1">
    <w:name w:val="Table Paragraph"/>
    <w:uiPriority w:val="1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Calibri" w:cs="Calib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mailto:tuvaenergo@tv.rosseti-sib.ru" TargetMode="External"/><Relationship Id="rId12" Type="http://schemas.openxmlformats.org/officeDocument/2006/relationships/hyperlink" Target="http://www.tuvaenergo.ru/buy/corruption.php" TargetMode="External"/><Relationship Id="rId13" Type="http://schemas.openxmlformats.org/officeDocument/2006/relationships/hyperlink" Target="mailto:cfd@rosseti.ru" TargetMode="External"/><Relationship Id="rId14" Type="http://schemas.openxmlformats.org/officeDocument/2006/relationships/hyperlink" Target="mailto:EvtifevaDV@tv.rosseti-sib.ru" TargetMode="External"/><Relationship Id="rId15" Type="http://schemas.openxmlformats.org/officeDocument/2006/relationships/hyperlink" Target="mailto:EvtifevaDV@tv.rosseti-sib.ru" TargetMode="External"/><Relationship Id="rId16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uva.mrsk-sib.ru" TargetMode="External"/><Relationship Id="rId18" Type="http://schemas.openxmlformats.org/officeDocument/2006/relationships/hyperlink" Target="mailto:KularAY@tv.rosseti-sib.ru" TargetMode="External"/><Relationship Id="rId19" Type="http://schemas.openxmlformats.org/officeDocument/2006/relationships/hyperlink" Target="mailto:EvtifevaDV@tv.rosseti-sib.ru" TargetMode="External"/><Relationship Id="rId20" Type="http://schemas.openxmlformats.org/officeDocument/2006/relationships/hyperlink" Target="mailto:BaturinNV@tv.rosseti-sib.ru" TargetMode="External"/><Relationship Id="rId21" Type="http://schemas.openxmlformats.org/officeDocument/2006/relationships/hyperlink" Target="mailto:EvtifevaDV@tv.rosseti-sib.ru" TargetMode="External"/><Relationship Id="rId22" Type="http://schemas.openxmlformats.org/officeDocument/2006/relationships/hyperlink" Target="mailto:BaturinNV@tv.rosseti-sib.ru" TargetMode="External"/><Relationship Id="rId23" Type="http://schemas.openxmlformats.org/officeDocument/2006/relationships/image" Target="media/image1.jpg"/><Relationship Id="rId24" Type="http://schemas.openxmlformats.org/officeDocument/2006/relationships/image" Target="media/image2.jp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AE887-BD5A-45B8-8276-EA7553632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revision>194</cp:revision>
  <dcterms:created xsi:type="dcterms:W3CDTF">2023-08-25T12:30:00Z</dcterms:created>
  <dcterms:modified xsi:type="dcterms:W3CDTF">2025-11-24T02:35:04Z</dcterms:modified>
</cp:coreProperties>
</file>